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3</w:t>
      </w:r>
      <w:r>
        <w:rPr>
          <w:rFonts w:hint="eastAsia" w:ascii="仿宋" w:hAnsi="仿宋" w:eastAsia="仿宋"/>
          <w:b/>
          <w:bCs/>
          <w:sz w:val="28"/>
          <w:szCs w:val="28"/>
        </w:rPr>
        <w:t>：《</w:t>
      </w:r>
      <w:bookmarkStart w:id="0" w:name="_GoBack"/>
      <w:bookmarkEnd w:id="0"/>
      <w:r>
        <w:rPr>
          <w:rFonts w:hint="eastAsia" w:ascii="仿宋" w:hAnsi="仿宋" w:eastAsia="仿宋"/>
          <w:b/>
          <w:bCs/>
          <w:sz w:val="28"/>
          <w:szCs w:val="28"/>
        </w:rPr>
        <w:t>关于开展“企业绿色物流服务能力测评”的通知》</w:t>
      </w:r>
    </w:p>
    <w:p>
      <w:pPr>
        <w:tabs>
          <w:tab w:val="left" w:pos="4413"/>
          <w:tab w:val="left" w:pos="5688"/>
        </w:tabs>
        <w:jc w:val="right"/>
        <w:rPr>
          <w:rFonts w:ascii="宋体" w:hAnsi="宋体"/>
          <w:b/>
          <w:spacing w:val="10"/>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关于开展“企业绿色物流服务能力测评”的通知</w:t>
      </w:r>
    </w:p>
    <w:p>
      <w:pPr>
        <w:spacing w:line="500" w:lineRule="exact"/>
        <w:rPr>
          <w:rFonts w:ascii="仿宋" w:hAnsi="仿宋" w:eastAsia="仿宋"/>
          <w:sz w:val="30"/>
          <w:szCs w:val="30"/>
        </w:rPr>
      </w:pPr>
    </w:p>
    <w:p>
      <w:pPr>
        <w:spacing w:line="500" w:lineRule="exact"/>
        <w:rPr>
          <w:rFonts w:ascii="仿宋" w:hAnsi="仿宋" w:eastAsia="仿宋"/>
          <w:sz w:val="28"/>
          <w:szCs w:val="28"/>
        </w:rPr>
      </w:pPr>
      <w:r>
        <w:rPr>
          <w:rFonts w:hint="eastAsia" w:ascii="仿宋" w:hAnsi="仿宋" w:eastAsia="仿宋"/>
          <w:sz w:val="28"/>
          <w:szCs w:val="28"/>
        </w:rPr>
        <w:t>各相关单位：</w:t>
      </w:r>
    </w:p>
    <w:p>
      <w:pPr>
        <w:tabs>
          <w:tab w:val="left" w:pos="7655"/>
        </w:tabs>
        <w:spacing w:line="500" w:lineRule="exact"/>
        <w:ind w:firstLine="560" w:firstLineChars="200"/>
        <w:rPr>
          <w:rFonts w:hint="eastAsia" w:ascii="仿宋" w:hAnsi="仿宋" w:eastAsia="仿宋"/>
          <w:sz w:val="28"/>
          <w:szCs w:val="28"/>
        </w:rPr>
      </w:pPr>
      <w:r>
        <w:rPr>
          <w:rFonts w:hint="eastAsia" w:ascii="仿宋" w:hAnsi="仿宋" w:eastAsia="仿宋"/>
          <w:sz w:val="28"/>
          <w:szCs w:val="28"/>
        </w:rPr>
        <w:t>国务院办公厅印发的《“十四五”现代物流发展规划》文件提出，推动绿色物流发展，将“绿色低碳物流创新工程”列为重点工程之一，依托行业协会等第三方机构，开展绿色物流企业对标贯标达标活动，推广一批节能低碳技术装备，创建一批绿色物流枢纽、绿色物流园区。为落实文件精神，中国物流与采购联合会（以下简称“中物联”）依托行业标准《物流企业绿色物流评估指标》，决定在全国开展“企业绿色物流服务能力测评”工作。现将有关事项通知如下：</w:t>
      </w:r>
    </w:p>
    <w:p>
      <w:pPr>
        <w:tabs>
          <w:tab w:val="left" w:pos="7655"/>
        </w:tabs>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一、</w:t>
      </w:r>
      <w:r>
        <w:rPr>
          <w:rFonts w:hint="eastAsia" w:ascii="仿宋" w:hAnsi="仿宋" w:eastAsia="仿宋"/>
          <w:sz w:val="28"/>
          <w:szCs w:val="28"/>
          <w:lang w:val="en-US" w:eastAsia="zh-CN"/>
        </w:rPr>
        <w:t>指导思想</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全面贯彻党的二十大精神，以习近平新时代中国特色社会主义思想为指导，落实“国务院关于加快建立健全绿色低碳循环发展经济体系的指导意见”精神，健全绿色低碳循环发展的生产和流通体系，打造绿色物流，构建绿色供应链；响应“国家国务院关于完整准确全面贯彻新发展理念做好碳达峰碳中和工作的意见”和《2030年前碳达峰行动方案》，大力推动绿色物流的发展，以绿色物流为抓手，带动上下游合作商发展绿色供应链；按照《“十四五”现代物流发展规划》要求，推进“绿色低碳物流创新工程”，开展绿色物流企业对标贯标达标活动。</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lang w:val="en-US" w:eastAsia="zh-CN"/>
        </w:rPr>
        <w:t>二、</w:t>
      </w:r>
      <w:r>
        <w:rPr>
          <w:rFonts w:hint="eastAsia" w:ascii="仿宋" w:hAnsi="仿宋" w:eastAsia="仿宋"/>
          <w:sz w:val="28"/>
          <w:szCs w:val="28"/>
        </w:rPr>
        <w:t>测评目标</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企业绿色物流服务能力测评工作旨在通过在行业内开展测评，为评估物流企业绿色物流发展水平提供技术支持；为政府和行业管理提供依据；推进物流行业节能降碳，助力国家双碳目标实现；促进形成物流行业绿色发展良性竞争，形成绿色发展文化。同时，落实国家双碳目标和发展绿色物流的决策部署，以测评工作激活企业绿色转型新动能，以绿色物流为抓手，带动上下游合作商发展绿色供应链，促进绿色低碳循环发展经济体系的构建。打造一批适合我国国情的绿色物流示范企业，构建绿色低碳可持续发展的供应链、产业链，形成可复制推广的绿色物流发展经验，为现代物流和供应链的发展提供强有力支撑，助力物流行业高质量发展。</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lang w:val="en-US" w:eastAsia="zh-CN"/>
        </w:rPr>
        <w:t>三</w:t>
      </w:r>
      <w:r>
        <w:rPr>
          <w:rFonts w:hint="eastAsia" w:ascii="仿宋" w:hAnsi="仿宋" w:eastAsia="仿宋"/>
          <w:sz w:val="28"/>
          <w:szCs w:val="28"/>
        </w:rPr>
        <w:t>、</w:t>
      </w:r>
      <w:r>
        <w:rPr>
          <w:rFonts w:hint="eastAsia" w:ascii="仿宋" w:hAnsi="仿宋" w:eastAsia="仿宋"/>
          <w:sz w:val="28"/>
          <w:szCs w:val="28"/>
          <w:lang w:val="en-US" w:eastAsia="zh-CN"/>
        </w:rPr>
        <w:t>测评</w:t>
      </w:r>
      <w:r>
        <w:rPr>
          <w:rFonts w:hint="eastAsia" w:ascii="仿宋" w:hAnsi="仿宋" w:eastAsia="仿宋"/>
          <w:sz w:val="28"/>
          <w:szCs w:val="28"/>
        </w:rPr>
        <w:t>重点任务</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企业应围绕测评目标，发挥引领作用，系统化、体系化布局绿色物流，促进物流行业整体绿色发展水平。</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（一）构建绿色物流管理制度和管理体系</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企业内部设置绿色发展管理部门或由多部门专职人员组成的绿色发展管理协调工作组；建立绿色发展管理组织工作制度、标准化物流作业与管理制度、节能降碳制度、能源消耗统计制度、节能宣传教育和培训制度；建立质量和环境管理体系和能源管理体系；进行绿色物流发展规划并制定相应工作计划和实施方案。</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（二）提升设施、设备、包装器具的绿色化水平</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企业采用多种运输方式，建设立体库并采用节能举措，配套满足新能源载运工具和清洁环保载运工具充（换）电、岸电、加气或加氢需求的辅助设施；使用新能源载运工具与清洁环保载运工具，配备有计量能源和水等资源的计量器具并定期检定、维护与管理；物流包装使用可降解塑料，提高新能源载运工具、标准托盘、标准周转箱比重。</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（三）打造绿色物流运营模式</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企业应用数字化和智能化技术，采用数字化技术设备与管理系统；采用合适物流业务组织模式，提高铁路和水路货运周转量比重和实载率；注重资源绿色化，通过自产、绿色电力交易或绿证交易等市场化方式使用可再生能源。</w:t>
      </w:r>
    </w:p>
    <w:p>
      <w:pPr>
        <w:tabs>
          <w:tab w:val="left" w:pos="7655"/>
        </w:tabs>
        <w:spacing w:line="500" w:lineRule="exact"/>
        <w:ind w:firstLine="560" w:firstLineChars="200"/>
        <w:rPr>
          <w:rFonts w:ascii="仿宋" w:hAnsi="仿宋" w:eastAsia="仿宋"/>
          <w:sz w:val="28"/>
          <w:szCs w:val="28"/>
        </w:rPr>
      </w:pPr>
      <w:r>
        <w:rPr>
          <w:rFonts w:hint="eastAsia" w:ascii="仿宋" w:hAnsi="仿宋" w:eastAsia="仿宋"/>
          <w:sz w:val="28"/>
          <w:szCs w:val="28"/>
        </w:rPr>
        <w:t>（四）促进绿色信息披露与生态共建</w:t>
      </w:r>
    </w:p>
    <w:p>
      <w:pPr>
        <w:tabs>
          <w:tab w:val="left" w:pos="7655"/>
        </w:tabs>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企业核算和报告节能降碳信息；定期发布含绿色物流的报告，且报告公开可获得；与合作商建立绿色物流沟通协作机制，了解和支持合作商绿色物流服务需求和举措。</w:t>
      </w:r>
    </w:p>
    <w:p>
      <w:pPr>
        <w:tabs>
          <w:tab w:val="left" w:pos="7655"/>
        </w:tabs>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四</w:t>
      </w:r>
      <w:r>
        <w:rPr>
          <w:rFonts w:hint="eastAsia" w:ascii="仿宋" w:hAnsi="仿宋" w:eastAsia="仿宋"/>
          <w:sz w:val="28"/>
          <w:szCs w:val="28"/>
        </w:rPr>
        <w:t>、</w:t>
      </w:r>
      <w:r>
        <w:rPr>
          <w:rFonts w:hint="eastAsia" w:ascii="仿宋" w:hAnsi="仿宋" w:eastAsia="仿宋"/>
          <w:sz w:val="28"/>
          <w:szCs w:val="28"/>
          <w:lang w:val="en-US" w:eastAsia="zh-CN"/>
        </w:rPr>
        <w:t>测评参与方式</w:t>
      </w:r>
    </w:p>
    <w:p>
      <w:pPr>
        <w:tabs>
          <w:tab w:val="left" w:pos="7655"/>
        </w:tabs>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请有</w:t>
      </w:r>
      <w:r>
        <w:rPr>
          <w:rFonts w:hint="eastAsia" w:ascii="仿宋" w:hAnsi="仿宋" w:eastAsia="仿宋"/>
          <w:sz w:val="28"/>
          <w:szCs w:val="28"/>
        </w:rPr>
        <w:t>意向参与</w:t>
      </w:r>
      <w:r>
        <w:rPr>
          <w:rFonts w:hint="eastAsia" w:ascii="仿宋" w:hAnsi="仿宋" w:eastAsia="仿宋"/>
          <w:sz w:val="28"/>
          <w:szCs w:val="28"/>
          <w:lang w:val="en-US" w:eastAsia="zh-CN"/>
        </w:rPr>
        <w:t>的</w:t>
      </w:r>
      <w:r>
        <w:rPr>
          <w:rFonts w:hint="eastAsia" w:ascii="仿宋" w:hAnsi="仿宋" w:eastAsia="仿宋"/>
          <w:sz w:val="28"/>
          <w:szCs w:val="28"/>
        </w:rPr>
        <w:t>企业按照企业类型填写《绿色物流企业测评表》</w:t>
      </w:r>
      <w:r>
        <w:rPr>
          <w:rFonts w:hint="eastAsia" w:ascii="仿宋" w:hAnsi="仿宋" w:eastAsia="仿宋"/>
          <w:sz w:val="28"/>
          <w:szCs w:val="28"/>
          <w:lang w:eastAsia="zh-CN"/>
        </w:rPr>
        <w:t>（</w:t>
      </w:r>
      <w:r>
        <w:rPr>
          <w:rFonts w:hint="eastAsia" w:ascii="仿宋" w:hAnsi="仿宋" w:eastAsia="仿宋"/>
          <w:sz w:val="28"/>
          <w:szCs w:val="28"/>
          <w:lang w:val="en-US" w:eastAsia="zh-CN"/>
        </w:rPr>
        <w:t>附件1-3</w:t>
      </w:r>
      <w:r>
        <w:rPr>
          <w:rFonts w:hint="eastAsia" w:ascii="仿宋" w:hAnsi="仿宋" w:eastAsia="仿宋"/>
          <w:sz w:val="28"/>
          <w:szCs w:val="28"/>
          <w:lang w:eastAsia="zh-CN"/>
        </w:rPr>
        <w:t>）</w:t>
      </w:r>
      <w:r>
        <w:rPr>
          <w:rFonts w:hint="eastAsia" w:ascii="仿宋" w:hAnsi="仿宋" w:eastAsia="仿宋"/>
          <w:sz w:val="28"/>
          <w:szCs w:val="28"/>
        </w:rPr>
        <w:t>，</w:t>
      </w:r>
      <w:r>
        <w:rPr>
          <w:rFonts w:hint="eastAsia" w:ascii="仿宋" w:hAnsi="仿宋" w:eastAsia="仿宋"/>
          <w:sz w:val="28"/>
          <w:szCs w:val="28"/>
          <w:lang w:val="en-US" w:eastAsia="zh-CN"/>
        </w:rPr>
        <w:t>并于</w:t>
      </w:r>
      <w:r>
        <w:rPr>
          <w:rFonts w:hint="eastAsia" w:ascii="仿宋" w:hAnsi="仿宋" w:eastAsia="仿宋"/>
          <w:sz w:val="28"/>
          <w:szCs w:val="28"/>
        </w:rPr>
        <w:t>2023年</w:t>
      </w:r>
      <w:r>
        <w:rPr>
          <w:rFonts w:hint="eastAsia" w:ascii="仿宋" w:hAnsi="仿宋" w:eastAsia="仿宋"/>
          <w:sz w:val="28"/>
          <w:szCs w:val="28"/>
          <w:lang w:val="en-US" w:eastAsia="zh-CN"/>
        </w:rPr>
        <w:t>8</w:t>
      </w:r>
      <w:r>
        <w:rPr>
          <w:rFonts w:hint="eastAsia" w:ascii="仿宋" w:hAnsi="仿宋" w:eastAsia="仿宋"/>
          <w:sz w:val="28"/>
          <w:szCs w:val="28"/>
        </w:rPr>
        <w:t>月3</w:t>
      </w:r>
      <w:r>
        <w:rPr>
          <w:rFonts w:hint="eastAsia" w:ascii="仿宋" w:hAnsi="仿宋" w:eastAsia="仿宋"/>
          <w:sz w:val="28"/>
          <w:szCs w:val="28"/>
          <w:lang w:val="en-US" w:eastAsia="zh-CN"/>
        </w:rPr>
        <w:t>1</w:t>
      </w:r>
      <w:r>
        <w:rPr>
          <w:rFonts w:hint="eastAsia" w:ascii="仿宋" w:hAnsi="仿宋" w:eastAsia="仿宋"/>
          <w:sz w:val="28"/>
          <w:szCs w:val="28"/>
        </w:rPr>
        <w:t>日</w:t>
      </w:r>
      <w:r>
        <w:rPr>
          <w:rFonts w:hint="eastAsia" w:ascii="仿宋" w:hAnsi="仿宋" w:eastAsia="仿宋"/>
          <w:sz w:val="28"/>
          <w:szCs w:val="28"/>
          <w:lang w:val="en-US" w:eastAsia="zh-CN"/>
        </w:rPr>
        <w:t>之前提交至邮箱lsw_mecc@163.com。</w:t>
      </w:r>
    </w:p>
    <w:p>
      <w:pPr>
        <w:tabs>
          <w:tab w:val="left" w:pos="7655"/>
        </w:tabs>
        <w:spacing w:line="500" w:lineRule="exact"/>
        <w:rPr>
          <w:rFonts w:hint="eastAsia" w:ascii="仿宋" w:hAnsi="仿宋" w:eastAsia="仿宋"/>
          <w:sz w:val="28"/>
          <w:szCs w:val="28"/>
        </w:rPr>
      </w:pPr>
    </w:p>
    <w:p>
      <w:pPr>
        <w:tabs>
          <w:tab w:val="left" w:pos="7655"/>
        </w:tabs>
        <w:spacing w:line="500" w:lineRule="exact"/>
        <w:rPr>
          <w:rFonts w:ascii="仿宋" w:hAnsi="仿宋" w:eastAsia="仿宋"/>
          <w:sz w:val="28"/>
          <w:szCs w:val="28"/>
        </w:rPr>
      </w:pPr>
      <w:r>
        <w:rPr>
          <w:rFonts w:hint="eastAsia" w:ascii="仿宋" w:hAnsi="仿宋" w:eastAsia="仿宋"/>
          <w:sz w:val="28"/>
          <w:szCs w:val="28"/>
        </w:rPr>
        <w:t>联系方式</w:t>
      </w:r>
    </w:p>
    <w:p>
      <w:pPr>
        <w:tabs>
          <w:tab w:val="left" w:pos="7655"/>
        </w:tabs>
        <w:spacing w:line="500" w:lineRule="exact"/>
        <w:rPr>
          <w:rFonts w:ascii="仿宋" w:hAnsi="仿宋" w:eastAsia="仿宋"/>
          <w:sz w:val="28"/>
          <w:szCs w:val="28"/>
        </w:rPr>
      </w:pPr>
      <w:r>
        <w:rPr>
          <w:rFonts w:hint="eastAsia" w:ascii="仿宋" w:hAnsi="仿宋" w:eastAsia="仿宋"/>
          <w:sz w:val="28"/>
          <w:szCs w:val="28"/>
        </w:rPr>
        <w:t>中物联绿色物流分会</w:t>
      </w:r>
    </w:p>
    <w:p>
      <w:pPr>
        <w:tabs>
          <w:tab w:val="left" w:pos="7655"/>
        </w:tabs>
        <w:spacing w:line="500" w:lineRule="exact"/>
        <w:rPr>
          <w:rFonts w:ascii="仿宋" w:hAnsi="仿宋" w:eastAsia="仿宋"/>
          <w:sz w:val="28"/>
          <w:szCs w:val="28"/>
        </w:rPr>
      </w:pPr>
      <w:r>
        <w:rPr>
          <w:rFonts w:hint="eastAsia" w:ascii="仿宋" w:hAnsi="仿宋" w:eastAsia="仿宋"/>
          <w:sz w:val="28"/>
          <w:szCs w:val="28"/>
        </w:rPr>
        <w:t>地  址：北京市西城区月坛北小街4号1号楼1312室</w:t>
      </w:r>
    </w:p>
    <w:p>
      <w:pPr>
        <w:tabs>
          <w:tab w:val="left" w:pos="7655"/>
        </w:tabs>
        <w:spacing w:line="500" w:lineRule="exact"/>
        <w:rPr>
          <w:rFonts w:ascii="仿宋" w:hAnsi="仿宋" w:eastAsia="仿宋"/>
          <w:sz w:val="28"/>
          <w:szCs w:val="28"/>
        </w:rPr>
      </w:pPr>
      <w:r>
        <w:rPr>
          <w:rFonts w:hint="eastAsia" w:ascii="仿宋" w:hAnsi="仿宋" w:eastAsia="仿宋"/>
          <w:sz w:val="28"/>
          <w:szCs w:val="28"/>
        </w:rPr>
        <w:t>联系人：刘哲（15120091994），赵洁玉（18811307600）</w:t>
      </w:r>
    </w:p>
    <w:p>
      <w:pPr>
        <w:tabs>
          <w:tab w:val="left" w:pos="7655"/>
        </w:tabs>
        <w:spacing w:line="500" w:lineRule="exact"/>
        <w:rPr>
          <w:rFonts w:ascii="仿宋" w:hAnsi="仿宋" w:eastAsia="仿宋"/>
          <w:sz w:val="28"/>
          <w:szCs w:val="28"/>
        </w:rPr>
      </w:pPr>
      <w:r>
        <w:rPr>
          <w:rFonts w:hint="eastAsia" w:ascii="仿宋" w:hAnsi="仿宋" w:eastAsia="仿宋"/>
          <w:sz w:val="28"/>
          <w:szCs w:val="28"/>
        </w:rPr>
        <w:t>电  话：010—68080060</w:t>
      </w:r>
    </w:p>
    <w:p>
      <w:pPr>
        <w:tabs>
          <w:tab w:val="left" w:pos="7655"/>
        </w:tabs>
        <w:spacing w:line="500" w:lineRule="exact"/>
        <w:rPr>
          <w:rFonts w:ascii="仿宋" w:hAnsi="仿宋" w:eastAsia="仿宋"/>
          <w:sz w:val="28"/>
          <w:szCs w:val="28"/>
        </w:rPr>
      </w:pPr>
      <w:r>
        <w:rPr>
          <w:rFonts w:hint="eastAsia" w:ascii="仿宋" w:hAnsi="仿宋" w:eastAsia="仿宋"/>
          <w:sz w:val="28"/>
          <w:szCs w:val="28"/>
        </w:rPr>
        <w:t>E-mail：lsw_mecc@163.com</w:t>
      </w:r>
    </w:p>
    <w:p>
      <w:pPr>
        <w:tabs>
          <w:tab w:val="left" w:pos="7655"/>
        </w:tabs>
        <w:spacing w:line="500" w:lineRule="exact"/>
        <w:rPr>
          <w:rFonts w:hint="eastAsia" w:ascii="仿宋" w:hAnsi="仿宋" w:eastAsia="仿宋"/>
          <w:sz w:val="28"/>
          <w:szCs w:val="28"/>
          <w:lang w:val="en-US" w:eastAsia="zh-CN"/>
        </w:rPr>
      </w:pPr>
    </w:p>
    <w:p>
      <w:pPr>
        <w:spacing w:line="360" w:lineRule="auto"/>
        <w:jc w:val="left"/>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附件1：</w:t>
      </w:r>
      <w:r>
        <w:rPr>
          <w:rFonts w:hint="default" w:ascii="仿宋" w:hAnsi="仿宋" w:eastAsia="仿宋"/>
          <w:b w:val="0"/>
          <w:bCs w:val="0"/>
          <w:sz w:val="28"/>
          <w:szCs w:val="28"/>
          <w:lang w:val="en-US" w:eastAsia="zh-CN"/>
        </w:rPr>
        <w:t>《</w:t>
      </w:r>
      <w:r>
        <w:rPr>
          <w:rFonts w:hint="eastAsia" w:ascii="仿宋" w:hAnsi="仿宋" w:eastAsia="仿宋"/>
          <w:b w:val="0"/>
          <w:bCs w:val="0"/>
          <w:sz w:val="28"/>
          <w:szCs w:val="28"/>
          <w:lang w:val="en-US" w:eastAsia="zh-CN"/>
        </w:rPr>
        <w:t>运输</w:t>
      </w:r>
      <w:r>
        <w:rPr>
          <w:rFonts w:hint="default" w:ascii="仿宋" w:hAnsi="仿宋" w:eastAsia="仿宋"/>
          <w:b w:val="0"/>
          <w:bCs w:val="0"/>
          <w:sz w:val="28"/>
          <w:szCs w:val="28"/>
          <w:lang w:val="en-US" w:eastAsia="zh-CN"/>
        </w:rPr>
        <w:t>型绿色物流企业测评表》</w:t>
      </w:r>
    </w:p>
    <w:p>
      <w:pPr>
        <w:spacing w:line="360" w:lineRule="auto"/>
        <w:jc w:val="left"/>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附件2：《仓储型绿色物流企业测评表》</w:t>
      </w:r>
    </w:p>
    <w:p>
      <w:pPr>
        <w:spacing w:line="360" w:lineRule="auto"/>
        <w:jc w:val="left"/>
        <w:rPr>
          <w:rFonts w:hint="default" w:ascii="仿宋" w:hAnsi="仿宋" w:eastAsia="仿宋"/>
          <w:b w:val="0"/>
          <w:bCs w:val="0"/>
          <w:sz w:val="28"/>
          <w:szCs w:val="28"/>
          <w:lang w:val="en-US" w:eastAsia="zh-CN"/>
        </w:rPr>
      </w:pPr>
      <w:r>
        <w:rPr>
          <w:rFonts w:hint="default" w:ascii="仿宋" w:hAnsi="仿宋" w:eastAsia="仿宋"/>
          <w:b w:val="0"/>
          <w:bCs w:val="0"/>
          <w:sz w:val="28"/>
          <w:szCs w:val="28"/>
          <w:lang w:val="en-US" w:eastAsia="zh-CN"/>
        </w:rPr>
        <w:t>附件</w:t>
      </w:r>
      <w:r>
        <w:rPr>
          <w:rFonts w:hint="eastAsia" w:ascii="仿宋" w:hAnsi="仿宋" w:eastAsia="仿宋"/>
          <w:b w:val="0"/>
          <w:bCs w:val="0"/>
          <w:sz w:val="28"/>
          <w:szCs w:val="28"/>
          <w:lang w:val="en-US" w:eastAsia="zh-CN"/>
        </w:rPr>
        <w:t>3</w:t>
      </w:r>
      <w:r>
        <w:rPr>
          <w:rFonts w:hint="default" w:ascii="仿宋" w:hAnsi="仿宋" w:eastAsia="仿宋"/>
          <w:b w:val="0"/>
          <w:bCs w:val="0"/>
          <w:sz w:val="28"/>
          <w:szCs w:val="28"/>
          <w:lang w:val="en-US" w:eastAsia="zh-CN"/>
        </w:rPr>
        <w:t>：《</w:t>
      </w:r>
      <w:r>
        <w:rPr>
          <w:rFonts w:hint="eastAsia" w:ascii="仿宋" w:hAnsi="仿宋" w:eastAsia="仿宋"/>
          <w:b w:val="0"/>
          <w:bCs w:val="0"/>
          <w:sz w:val="28"/>
          <w:szCs w:val="28"/>
          <w:lang w:val="en-US" w:eastAsia="zh-CN"/>
        </w:rPr>
        <w:t>综合</w:t>
      </w:r>
      <w:r>
        <w:rPr>
          <w:rFonts w:hint="default" w:ascii="仿宋" w:hAnsi="仿宋" w:eastAsia="仿宋"/>
          <w:b w:val="0"/>
          <w:bCs w:val="0"/>
          <w:sz w:val="28"/>
          <w:szCs w:val="28"/>
          <w:lang w:val="en-US" w:eastAsia="zh-CN"/>
        </w:rPr>
        <w:t>型绿色物流企业测评表》</w:t>
      </w:r>
    </w:p>
    <w:p>
      <w:pPr>
        <w:tabs>
          <w:tab w:val="left" w:pos="7655"/>
        </w:tabs>
        <w:spacing w:line="500" w:lineRule="exact"/>
        <w:rPr>
          <w:rFonts w:hint="default" w:ascii="仿宋" w:hAnsi="仿宋" w:eastAsia="仿宋"/>
          <w:sz w:val="28"/>
          <w:szCs w:val="28"/>
          <w:lang w:val="en-US" w:eastAsia="zh-CN"/>
        </w:rPr>
      </w:pPr>
    </w:p>
    <w:p>
      <w:pPr>
        <w:spacing w:line="500" w:lineRule="exact"/>
        <w:rPr>
          <w:rFonts w:ascii="仿宋" w:hAnsi="仿宋" w:eastAsia="仿宋"/>
          <w:sz w:val="28"/>
          <w:szCs w:val="28"/>
        </w:rPr>
      </w:pPr>
    </w:p>
    <w:p>
      <w:pPr>
        <w:tabs>
          <w:tab w:val="left" w:pos="7655"/>
        </w:tabs>
        <w:spacing w:line="500" w:lineRule="exact"/>
        <w:ind w:firstLine="4340" w:firstLineChars="1550"/>
        <w:jc w:val="right"/>
        <w:rPr>
          <w:rFonts w:ascii="仿宋" w:hAnsi="仿宋" w:eastAsia="仿宋"/>
          <w:sz w:val="28"/>
          <w:szCs w:val="28"/>
        </w:rPr>
      </w:pPr>
      <w:r>
        <w:rPr>
          <w:rFonts w:hint="eastAsia" w:ascii="仿宋" w:hAnsi="仿宋" w:eastAsia="仿宋"/>
          <w:sz w:val="28"/>
          <w:szCs w:val="28"/>
        </w:rPr>
        <w:t>二○二三年七月一日</w:t>
      </w:r>
    </w:p>
    <w:p>
      <w:pPr>
        <w:tabs>
          <w:tab w:val="left" w:pos="4413"/>
          <w:tab w:val="left" w:pos="5688"/>
        </w:tabs>
        <w:jc w:val="right"/>
        <w:rPr>
          <w:rFonts w:ascii="仿宋" w:hAnsi="仿宋" w:eastAsia="仿宋"/>
          <w:kern w:val="0"/>
          <w:sz w:val="30"/>
          <w:szCs w:val="30"/>
        </w:rPr>
      </w:pPr>
    </w:p>
    <w:p/>
    <w:p>
      <w:pPr>
        <w:spacing w:line="360" w:lineRule="auto"/>
        <w:ind w:firstLine="560" w:firstLineChars="200"/>
        <w:rPr>
          <w:rFonts w:ascii="仿宋" w:hAnsi="仿宋" w:eastAsia="仿宋"/>
          <w:sz w:val="28"/>
          <w:szCs w:val="28"/>
        </w:rPr>
        <w:sectPr>
          <w:headerReference r:id="rId3" w:type="default"/>
          <w:pgSz w:w="11906" w:h="16838"/>
          <w:pgMar w:top="1440" w:right="1800" w:bottom="1440" w:left="1800" w:header="851" w:footer="992" w:gutter="0"/>
          <w:cols w:space="425" w:num="1"/>
          <w:docGrid w:type="lines" w:linePitch="312" w:charSpace="0"/>
        </w:sectPr>
      </w:pPr>
    </w:p>
    <w:p>
      <w:pPr>
        <w:jc w:val="left"/>
        <w:rPr>
          <w:rFonts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1</w:t>
      </w:r>
      <w:r>
        <w:rPr>
          <w:rFonts w:hint="eastAsia" w:ascii="仿宋" w:hAnsi="仿宋" w:eastAsia="仿宋"/>
          <w:b/>
          <w:bCs/>
          <w:sz w:val="28"/>
          <w:szCs w:val="28"/>
        </w:rPr>
        <w:t>：《运输型绿色物流企业测评表》</w:t>
      </w:r>
    </w:p>
    <w:p>
      <w:pPr>
        <w:jc w:val="center"/>
        <w:rPr>
          <w:rFonts w:hint="eastAsia" w:ascii="宋体" w:hAnsi="宋体" w:eastAsiaTheme="minorEastAsia"/>
          <w:bCs/>
          <w:sz w:val="44"/>
          <w:szCs w:val="44"/>
          <w:lang w:val="en-US" w:eastAsia="zh-CN"/>
        </w:rPr>
      </w:pPr>
    </w:p>
    <w:p>
      <w:pPr>
        <w:jc w:val="both"/>
        <w:rPr>
          <w:rFonts w:hint="default" w:ascii="宋体" w:hAnsi="宋体" w:eastAsiaTheme="minorEastAsia"/>
          <w:bCs/>
          <w:sz w:val="44"/>
          <w:szCs w:val="44"/>
          <w:lang w:val="en-US" w:eastAsia="zh-CN"/>
        </w:rPr>
      </w:pPr>
    </w:p>
    <w:p>
      <w:pPr>
        <w:jc w:val="both"/>
        <w:rPr>
          <w:rFonts w:hint="default" w:ascii="宋体" w:hAnsi="宋体" w:eastAsiaTheme="minorEastAsia"/>
          <w:bCs/>
          <w:sz w:val="44"/>
          <w:szCs w:val="44"/>
          <w:lang w:val="en-US" w:eastAsia="zh-CN"/>
        </w:rPr>
      </w:pPr>
    </w:p>
    <w:p>
      <w:pPr>
        <w:jc w:val="center"/>
        <w:rPr>
          <w:rFonts w:ascii="宋体" w:hAnsi="宋体"/>
          <w:bCs/>
          <w:sz w:val="44"/>
          <w:szCs w:val="44"/>
        </w:rPr>
      </w:pPr>
      <w:r>
        <w:rPr>
          <w:rFonts w:hint="eastAsia" w:ascii="宋体" w:hAnsi="宋体"/>
          <w:bCs/>
          <w:sz w:val="44"/>
          <w:szCs w:val="44"/>
        </w:rPr>
        <w:t>运输型绿色物流企业测评表</w:t>
      </w: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宋体" w:hAnsi="宋体"/>
          <w:sz w:val="44"/>
          <w:szCs w:val="44"/>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1920" w:firstLineChars="600"/>
        <w:jc w:val="left"/>
        <w:rPr>
          <w:rFonts w:ascii="黑体" w:hAnsi="黑体" w:eastAsia="黑体"/>
          <w:sz w:val="32"/>
          <w:szCs w:val="32"/>
          <w:u w:val="single"/>
        </w:rPr>
      </w:pPr>
      <w:r>
        <w:rPr>
          <w:rFonts w:hint="eastAsia" w:ascii="黑体" w:hAnsi="黑体" w:eastAsia="黑体"/>
          <w:sz w:val="32"/>
          <w:szCs w:val="32"/>
        </w:rPr>
        <w:t>企业名称：</w:t>
      </w:r>
      <w:r>
        <w:rPr>
          <w:rFonts w:hint="eastAsia" w:ascii="仿宋" w:hAnsi="仿宋" w:eastAsia="仿宋"/>
          <w:sz w:val="28"/>
          <w:szCs w:val="28"/>
          <w:u w:val="single"/>
        </w:rPr>
        <w:t xml:space="preserve">                     </w:t>
      </w:r>
    </w:p>
    <w:p>
      <w:pPr>
        <w:ind w:firstLine="1920" w:firstLineChars="600"/>
        <w:jc w:val="left"/>
        <w:rPr>
          <w:rFonts w:ascii="黑体" w:hAnsi="黑体" w:eastAsia="黑体"/>
          <w:sz w:val="32"/>
          <w:szCs w:val="32"/>
          <w:u w:val="single"/>
        </w:rPr>
      </w:pPr>
      <w:r>
        <w:rPr>
          <w:rFonts w:hint="eastAsia" w:ascii="黑体" w:hAnsi="黑体" w:eastAsia="黑体"/>
          <w:sz w:val="32"/>
          <w:szCs w:val="32"/>
        </w:rPr>
        <w:t xml:space="preserve">时 </w:t>
      </w:r>
      <w:r>
        <w:rPr>
          <w:rFonts w:ascii="黑体" w:hAnsi="黑体" w:eastAsia="黑体"/>
          <w:sz w:val="32"/>
          <w:szCs w:val="32"/>
        </w:rPr>
        <w:t xml:space="preserve">   </w:t>
      </w:r>
      <w:r>
        <w:rPr>
          <w:rFonts w:hint="eastAsia" w:ascii="黑体" w:hAnsi="黑体" w:eastAsia="黑体"/>
          <w:sz w:val="32"/>
          <w:szCs w:val="32"/>
        </w:rPr>
        <w:t>间：</w:t>
      </w:r>
      <w:r>
        <w:rPr>
          <w:rFonts w:hint="eastAsia" w:ascii="仿宋" w:hAnsi="仿宋" w:eastAsia="仿宋"/>
          <w:sz w:val="28"/>
          <w:szCs w:val="28"/>
          <w:u w:val="single"/>
        </w:rPr>
        <w:t xml:space="preserve">                     </w:t>
      </w:r>
    </w:p>
    <w:tbl>
      <w:tblPr>
        <w:tblStyle w:val="4"/>
        <w:tblW w:w="6212"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6"/>
        <w:gridCol w:w="987"/>
        <w:gridCol w:w="2980"/>
        <w:gridCol w:w="2717"/>
        <w:gridCol w:w="26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企业名称</w:t>
            </w:r>
          </w:p>
        </w:tc>
        <w:tc>
          <w:tcPr>
            <w:tcW w:w="4387"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所属行业</w:t>
            </w:r>
          </w:p>
        </w:tc>
        <w:tc>
          <w:tcPr>
            <w:tcW w:w="4387"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通讯地址</w:t>
            </w:r>
          </w:p>
        </w:tc>
        <w:tc>
          <w:tcPr>
            <w:tcW w:w="4387"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单位性质</w:t>
            </w:r>
          </w:p>
        </w:tc>
        <w:tc>
          <w:tcPr>
            <w:tcW w:w="4387" w:type="pct"/>
            <w:gridSpan w:val="4"/>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内资（□国有□集体□民营）□中外合资□港澳台□外商独资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统一社会信用代码</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邮编</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注册机关</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注册资本</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成立日期</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有效期</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法定代表人</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法定代表人</w:t>
            </w:r>
          </w:p>
          <w:p>
            <w:pPr>
              <w:spacing w:before="120" w:line="440" w:lineRule="exact"/>
              <w:jc w:val="center"/>
              <w:rPr>
                <w:rFonts w:ascii="仿宋" w:hAnsi="仿宋" w:eastAsia="仿宋" w:cs="Times New Roman"/>
                <w:sz w:val="24"/>
              </w:rPr>
            </w:pPr>
            <w:r>
              <w:rPr>
                <w:rFonts w:hint="eastAsia" w:ascii="仿宋" w:hAnsi="仿宋" w:eastAsia="仿宋" w:cs="Times New Roman"/>
                <w:sz w:val="24"/>
              </w:rPr>
              <w:t>联系电话</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申报工作联系部门</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联系人</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联系电话</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传真</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手机</w:t>
            </w:r>
          </w:p>
        </w:tc>
        <w:tc>
          <w:tcPr>
            <w:tcW w:w="1872"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电子邮箱</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单位简介</w:t>
            </w:r>
          </w:p>
        </w:tc>
        <w:tc>
          <w:tcPr>
            <w:tcW w:w="4387" w:type="pct"/>
            <w:gridSpan w:val="4"/>
            <w:vAlign w:val="center"/>
          </w:tcPr>
          <w:p>
            <w:pPr>
              <w:spacing w:before="120" w:line="440" w:lineRule="exact"/>
              <w:rPr>
                <w:rFonts w:ascii="仿宋" w:hAnsi="仿宋" w:eastAsia="仿宋" w:cs="Times New Roman"/>
                <w:sz w:val="24"/>
              </w:rPr>
            </w:pPr>
            <w:r>
              <w:rPr>
                <w:rFonts w:hint="eastAsia" w:ascii="仿宋" w:hAnsi="仿宋" w:eastAsia="仿宋" w:cs="Times New Roman"/>
                <w:sz w:val="24"/>
              </w:rPr>
              <w:t>企业发展经历、业务范围、业务覆盖区域范围、经营状况（年总营业收入、年物流营业收入、营业时间）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规模</w:t>
            </w:r>
          </w:p>
        </w:tc>
        <w:tc>
          <w:tcPr>
            <w:tcW w:w="4387" w:type="pct"/>
            <w:gridSpan w:val="4"/>
            <w:vAlign w:val="center"/>
          </w:tcPr>
          <w:p>
            <w:pPr>
              <w:spacing w:before="120" w:line="440" w:lineRule="exact"/>
              <w:rPr>
                <w:rFonts w:ascii="仿宋" w:hAnsi="仿宋" w:eastAsia="仿宋" w:cs="Times New Roman"/>
                <w:sz w:val="24"/>
              </w:rPr>
            </w:pPr>
            <w:r>
              <w:rPr>
                <w:rFonts w:hint="eastAsia" w:ascii="仿宋" w:hAnsi="仿宋" w:eastAsia="仿宋" w:cs="Times New Roman"/>
                <w:sz w:val="24"/>
              </w:rPr>
              <w:t>自有货运汽车/辆（或货物运输装备总载重量/t）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3" w:hRule="atLeast"/>
          <w:jc w:val="center"/>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管理</w:t>
            </w: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管理组织与人员</w:t>
            </w:r>
          </w:p>
        </w:tc>
        <w:tc>
          <w:tcPr>
            <w:tcW w:w="2514" w:type="pct"/>
            <w:gridSpan w:val="2"/>
            <w:vMerge w:val="restart"/>
            <w:vAlign w:val="center"/>
          </w:tcPr>
          <w:p>
            <w:pPr>
              <w:spacing w:before="120"/>
              <w:jc w:val="left"/>
              <w:rPr>
                <w:rFonts w:ascii="仿宋" w:hAnsi="仿宋" w:eastAsia="仿宋" w:cs="Times New Roman"/>
                <w:sz w:val="24"/>
              </w:rPr>
            </w:pPr>
            <w:r>
              <w:rPr>
                <w:rFonts w:hint="eastAsia" w:ascii="仿宋" w:hAnsi="仿宋" w:eastAsia="仿宋" w:cs="Times New Roman"/>
                <w:sz w:val="24"/>
              </w:rPr>
              <w:t>概述企业内部设有绿色发展管理部门或由多部门专职人员组成的绿色发展管理协调工作组；绿色发展管理组织工作制度、标准化物流作业与管理制度、节能降碳制度、能源消耗统计制度、节能宣传教育和培训制度；按照GB/T 19001和GB/T 24001建立质量和环境管理体系，并通过国家或行业相关认证；按照GB/T 23331建立能源管理体系；绿色物流发展规划并制定相应工作计划和实施方案，人力、财力、设备及技术资源支持的情况。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管理制度</w:t>
            </w:r>
          </w:p>
        </w:tc>
        <w:tc>
          <w:tcPr>
            <w:tcW w:w="2514"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管理体系</w:t>
            </w:r>
          </w:p>
        </w:tc>
        <w:tc>
          <w:tcPr>
            <w:tcW w:w="2514"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绿色物流发展规划与实施</w:t>
            </w:r>
          </w:p>
        </w:tc>
        <w:tc>
          <w:tcPr>
            <w:tcW w:w="2514"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设施、设备、包装器具</w:t>
            </w: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设施</w:t>
            </w: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主要设施</w:t>
            </w:r>
          </w:p>
        </w:tc>
        <w:tc>
          <w:tcPr>
            <w:tcW w:w="2514" w:type="pct"/>
            <w:gridSpan w:val="2"/>
            <w:vMerge w:val="restart"/>
            <w:vAlign w:val="center"/>
          </w:tcPr>
          <w:p>
            <w:pPr>
              <w:spacing w:before="120" w:line="440" w:lineRule="exact"/>
              <w:jc w:val="left"/>
              <w:rPr>
                <w:rFonts w:ascii="Calibri" w:hAnsi="Calibri" w:eastAsia="宋体" w:cs="Times New Roman"/>
                <w:color w:val="000000" w:themeColor="text1"/>
                <w:sz w:val="18"/>
                <w:szCs w:val="18"/>
                <w14:textFill>
                  <w14:solidFill>
                    <w14:schemeClr w14:val="tx1"/>
                  </w14:solidFill>
                </w14:textFill>
              </w:rPr>
            </w:pPr>
            <w:r>
              <w:rPr>
                <w:rFonts w:hint="eastAsia" w:ascii="仿宋" w:hAnsi="仿宋" w:eastAsia="仿宋" w:cs="Times New Roman"/>
                <w:sz w:val="24"/>
              </w:rPr>
              <w:t>概述企业采用高效冷源、绿色照明、建筑保温隔热、自然采光或自然通风等节能举措；配套有满足新能源载运工具和清洁环保载运工具充（换）电、岸电、加气或加氢需求的辅助设施；使用新能源载运工具与清洁环保载运工具（货运船舶或货运飞机）；配备有计量能源和水等资源的计量器具，计量器具应定期检定，并能对计量器具进行维护与管理；物流包装使用可降解塑料；以及新能源叉车、新能源载运工具（微型和轻型货运汽车）、新能源载运工具与清洁环保载运工具（中型和重型货运汽车）、标准托盘、标准周转箱的比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辅助设施</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设备</w:t>
            </w: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新能源叉车比重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新能源载运工具（微型和轻型货运汽车）比重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新能源载运工具与清洁环保载运工具（中型和重型货运汽车）比重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新能源载运工具与清洁环保载运工具（货运船舶或货运飞机）</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计量器具</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包装器具</w:t>
            </w: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标准托盘比重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标准周转箱比重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可降解塑料材料使用</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jc w:val="center"/>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运营</w:t>
            </w: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数字化运营</w:t>
            </w:r>
          </w:p>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数字化和智能化技术应用</w:t>
            </w:r>
          </w:p>
        </w:tc>
        <w:tc>
          <w:tcPr>
            <w:tcW w:w="2514" w:type="pct"/>
            <w:gridSpan w:val="2"/>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概述企业数字化和智能化技术应用、管理信息系统应用在数字化技术设备与管理系统（是否包括TMS）、具备优化运输及配送路径或运输调度等能力；物流业务组织模式应用、铁路和水路货运周转量比重、实载率；企业运营设施产生的可再生能源全部或部分自用，或通过绿色电力交易或绿证交易等市场化方式使用可再生能源，采用智能算法或减量化包装替代等举措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jc w:val="center"/>
        </w:trPr>
        <w:tc>
          <w:tcPr>
            <w:tcW w:w="612" w:type="pct"/>
            <w:vMerge w:val="continue"/>
            <w:vAlign w:val="center"/>
          </w:tcPr>
          <w:p>
            <w:pPr>
              <w:spacing w:before="120" w:line="440" w:lineRule="exact"/>
              <w:jc w:val="left"/>
              <w:rPr>
                <w:rFonts w:ascii="Calibri" w:hAnsi="Calibri" w:eastAsia="宋体" w:cs="Times New Roman"/>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管理信息系统应用</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jc w:val="center"/>
        </w:trPr>
        <w:tc>
          <w:tcPr>
            <w:tcW w:w="612" w:type="pct"/>
            <w:vMerge w:val="continue"/>
            <w:vAlign w:val="center"/>
          </w:tcPr>
          <w:p>
            <w:pPr>
              <w:spacing w:before="120" w:line="440" w:lineRule="exact"/>
              <w:jc w:val="left"/>
              <w:rPr>
                <w:rFonts w:ascii="Calibri" w:hAnsi="Calibri" w:eastAsia="宋体" w:cs="Times New Roman"/>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运营方案优化</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jc w:val="center"/>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运营模式与效率</w:t>
            </w:r>
          </w:p>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物流业务组织模式应用</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铁路和水路货运周转量比重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jc w:val="center"/>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实载率</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jc w:val="center"/>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资源绿色化</w:t>
            </w: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使用可再生能源</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jc w:val="center"/>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5"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物流包装减量化</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3" w:hRule="atLeast"/>
          <w:jc w:val="center"/>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绿色信息披露与生态共建</w:t>
            </w: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核算和报告节能降碳信息</w:t>
            </w:r>
          </w:p>
        </w:tc>
        <w:tc>
          <w:tcPr>
            <w:tcW w:w="2514" w:type="pct"/>
            <w:gridSpan w:val="2"/>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概述企业能源消耗清单和节能降碳举措，统计和核算企业或项目层级的能源消耗总量和强度，及二氧化碳排放总量或强度；定期发布含绿色物流的报告，且报告公开可获得；与合作商建立绿色物流沟通协作机制，了解合作商绿色物流服务需求和举措，支持合作商开展绿色物流的举措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4"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社会责任履行情况</w:t>
            </w:r>
          </w:p>
        </w:tc>
        <w:tc>
          <w:tcPr>
            <w:tcW w:w="2514" w:type="pct"/>
            <w:gridSpan w:val="2"/>
            <w:vMerge w:val="continue"/>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 w:hRule="atLeast"/>
          <w:jc w:val="center"/>
        </w:trPr>
        <w:tc>
          <w:tcPr>
            <w:tcW w:w="612" w:type="pct"/>
            <w:vMerge w:val="continue"/>
            <w:vAlign w:val="center"/>
          </w:tcPr>
          <w:p>
            <w:pPr>
              <w:spacing w:before="120" w:line="440" w:lineRule="exact"/>
              <w:jc w:val="center"/>
              <w:rPr>
                <w:rFonts w:ascii="仿宋" w:hAnsi="仿宋" w:eastAsia="仿宋" w:cs="Times New Roman"/>
                <w:sz w:val="24"/>
              </w:rPr>
            </w:pPr>
          </w:p>
        </w:tc>
        <w:tc>
          <w:tcPr>
            <w:tcW w:w="1872"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绿色生态共建</w:t>
            </w:r>
          </w:p>
        </w:tc>
        <w:tc>
          <w:tcPr>
            <w:tcW w:w="2514" w:type="pct"/>
            <w:gridSpan w:val="2"/>
            <w:vMerge w:val="continue"/>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85" w:type="pct"/>
            <w:gridSpan w:val="3"/>
            <w:vAlign w:val="center"/>
          </w:tcPr>
          <w:p>
            <w:pPr>
              <w:spacing w:before="120" w:line="440" w:lineRule="exact"/>
              <w:jc w:val="center"/>
              <w:rPr>
                <w:rFonts w:ascii="仿宋" w:hAnsi="仿宋" w:eastAsia="仿宋" w:cs="Times New Roman"/>
                <w:sz w:val="24"/>
              </w:rPr>
            </w:pPr>
          </w:p>
        </w:tc>
        <w:tc>
          <w:tcPr>
            <w:tcW w:w="2514" w:type="pct"/>
            <w:gridSpan w:val="2"/>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材料真实性承诺：</w:t>
            </w:r>
          </w:p>
          <w:p>
            <w:pPr>
              <w:spacing w:before="120" w:line="440" w:lineRule="exact"/>
              <w:jc w:val="center"/>
              <w:rPr>
                <w:rFonts w:ascii="仿宋" w:hAnsi="仿宋" w:eastAsia="仿宋" w:cs="Times New Roman"/>
                <w:sz w:val="24"/>
              </w:rPr>
            </w:pPr>
          </w:p>
          <w:p>
            <w:pPr>
              <w:spacing w:before="120" w:line="440" w:lineRule="exact"/>
              <w:jc w:val="left"/>
              <w:rPr>
                <w:rFonts w:ascii="仿宋" w:hAnsi="仿宋" w:eastAsia="仿宋" w:cs="Times New Roman"/>
                <w:sz w:val="24"/>
              </w:rPr>
            </w:pPr>
            <w:r>
              <w:rPr>
                <w:rFonts w:hint="eastAsia" w:ascii="仿宋" w:hAnsi="仿宋" w:eastAsia="仿宋" w:cs="Times New Roman"/>
                <w:sz w:val="24"/>
              </w:rPr>
              <w:t>我单位郑重承诺：本次申报企业绿色物流星级评估所提交的相关数据和信息均真实、有效，愿接受并积极配合相关部门的监督抽查和核验。如有违反，愿承担由此产生的相应责任。</w:t>
            </w:r>
          </w:p>
          <w:p>
            <w:pPr>
              <w:spacing w:before="120" w:line="440" w:lineRule="exact"/>
              <w:jc w:val="center"/>
              <w:rPr>
                <w:rFonts w:ascii="仿宋" w:hAnsi="仿宋" w:eastAsia="仿宋" w:cs="Times New Roman"/>
                <w:sz w:val="24"/>
              </w:rPr>
            </w:pPr>
          </w:p>
          <w:p>
            <w:pPr>
              <w:spacing w:before="120" w:line="440" w:lineRule="exact"/>
              <w:jc w:val="right"/>
              <w:rPr>
                <w:rFonts w:ascii="仿宋" w:hAnsi="仿宋" w:eastAsia="仿宋" w:cs="Times New Roman"/>
                <w:sz w:val="24"/>
              </w:rPr>
            </w:pPr>
            <w:r>
              <w:rPr>
                <w:rFonts w:hint="eastAsia" w:ascii="仿宋" w:hAnsi="仿宋" w:eastAsia="仿宋" w:cs="Times New Roman"/>
                <w:sz w:val="24"/>
              </w:rPr>
              <w:t>法人或单位负责人签字：</w:t>
            </w:r>
          </w:p>
          <w:p>
            <w:pPr>
              <w:spacing w:before="120" w:line="440" w:lineRule="exact"/>
              <w:jc w:val="right"/>
              <w:rPr>
                <w:rFonts w:ascii="仿宋" w:hAnsi="仿宋" w:eastAsia="仿宋" w:cs="Times New Roman"/>
                <w:sz w:val="24"/>
              </w:rPr>
            </w:pPr>
            <w:r>
              <w:rPr>
                <w:rFonts w:hint="eastAsia" w:ascii="仿宋" w:hAnsi="仿宋" w:eastAsia="仿宋" w:cs="Times New Roman"/>
                <w:sz w:val="24"/>
              </w:rPr>
              <w:t>（公章）</w:t>
            </w:r>
          </w:p>
          <w:p>
            <w:pPr>
              <w:spacing w:before="120" w:line="440" w:lineRule="exact"/>
              <w:jc w:val="right"/>
              <w:rPr>
                <w:rFonts w:ascii="仿宋" w:hAnsi="仿宋" w:eastAsia="仿宋" w:cs="Times New Roman"/>
                <w:sz w:val="24"/>
              </w:rPr>
            </w:pPr>
            <w:r>
              <w:rPr>
                <w:rFonts w:hint="eastAsia" w:ascii="仿宋" w:hAnsi="仿宋" w:eastAsia="仿宋" w:cs="Times New Roman"/>
                <w:sz w:val="24"/>
              </w:rPr>
              <w:t>日期：</w:t>
            </w:r>
          </w:p>
          <w:p>
            <w:pPr>
              <w:spacing w:before="120" w:line="440" w:lineRule="exact"/>
              <w:jc w:val="center"/>
              <w:rPr>
                <w:rFonts w:ascii="仿宋" w:hAnsi="仿宋" w:eastAsia="仿宋" w:cs="Times New Roman"/>
                <w:sz w:val="24"/>
              </w:rPr>
            </w:pPr>
          </w:p>
        </w:tc>
      </w:tr>
    </w:tbl>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sectPr>
          <w:headerReference r:id="rId4" w:type="default"/>
          <w:pgSz w:w="11906" w:h="16838"/>
          <w:pgMar w:top="1440" w:right="1800" w:bottom="1440" w:left="1800" w:header="851" w:footer="992" w:gutter="0"/>
          <w:cols w:space="425" w:num="1"/>
          <w:docGrid w:type="lines" w:linePitch="312" w:charSpace="0"/>
        </w:sectPr>
      </w:pPr>
    </w:p>
    <w:p>
      <w:pPr>
        <w:jc w:val="left"/>
        <w:rPr>
          <w:rFonts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2</w:t>
      </w:r>
      <w:r>
        <w:rPr>
          <w:rFonts w:hint="eastAsia" w:ascii="仿宋" w:hAnsi="仿宋" w:eastAsia="仿宋"/>
          <w:b/>
          <w:bCs/>
          <w:sz w:val="28"/>
          <w:szCs w:val="28"/>
        </w:rPr>
        <w:t>：《仓储型绿色物流企业测评表》</w:t>
      </w:r>
    </w:p>
    <w:p>
      <w:pPr>
        <w:jc w:val="center"/>
        <w:rPr>
          <w:rFonts w:ascii="宋体" w:hAnsi="宋体"/>
          <w:bCs/>
          <w:sz w:val="44"/>
          <w:szCs w:val="44"/>
        </w:rPr>
      </w:pPr>
    </w:p>
    <w:p>
      <w:pPr>
        <w:jc w:val="center"/>
        <w:rPr>
          <w:rFonts w:ascii="宋体" w:hAnsi="宋体"/>
          <w:bCs/>
          <w:sz w:val="44"/>
          <w:szCs w:val="44"/>
        </w:rPr>
      </w:pPr>
    </w:p>
    <w:p>
      <w:pPr>
        <w:jc w:val="both"/>
        <w:rPr>
          <w:rFonts w:ascii="宋体" w:hAnsi="宋体"/>
          <w:bCs/>
          <w:sz w:val="44"/>
          <w:szCs w:val="44"/>
        </w:rPr>
      </w:pPr>
    </w:p>
    <w:p>
      <w:pPr>
        <w:jc w:val="center"/>
        <w:rPr>
          <w:rFonts w:ascii="宋体" w:hAnsi="宋体"/>
          <w:bCs/>
          <w:sz w:val="44"/>
          <w:szCs w:val="44"/>
        </w:rPr>
      </w:pPr>
      <w:r>
        <w:rPr>
          <w:rFonts w:hint="eastAsia" w:ascii="宋体" w:hAnsi="宋体"/>
          <w:bCs/>
          <w:sz w:val="44"/>
          <w:szCs w:val="44"/>
        </w:rPr>
        <w:t>仓储型绿色物流企业测评表</w:t>
      </w:r>
    </w:p>
    <w:p>
      <w:pPr>
        <w:jc w:val="center"/>
        <w:rPr>
          <w:rFonts w:ascii="黑体" w:hAnsi="黑体" w:eastAsia="黑体"/>
          <w:b/>
          <w:bCs/>
          <w:sz w:val="36"/>
          <w:szCs w:val="36"/>
        </w:rPr>
      </w:pPr>
    </w:p>
    <w:p>
      <w:pPr>
        <w:jc w:val="center"/>
        <w:rPr>
          <w:rFonts w:ascii="黑体" w:hAnsi="黑体" w:eastAsia="黑体"/>
          <w:b/>
          <w:bCs/>
          <w:sz w:val="36"/>
          <w:szCs w:val="36"/>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ind w:firstLine="1920" w:firstLineChars="600"/>
        <w:jc w:val="left"/>
        <w:rPr>
          <w:rFonts w:ascii="黑体" w:hAnsi="黑体" w:eastAsia="黑体"/>
          <w:sz w:val="32"/>
          <w:szCs w:val="32"/>
          <w:u w:val="single"/>
        </w:rPr>
      </w:pPr>
      <w:r>
        <w:rPr>
          <w:rFonts w:hint="eastAsia" w:ascii="黑体" w:hAnsi="黑体" w:eastAsia="黑体"/>
          <w:sz w:val="32"/>
          <w:szCs w:val="32"/>
        </w:rPr>
        <w:t>企业名称：</w:t>
      </w:r>
      <w:r>
        <w:rPr>
          <w:rFonts w:hint="eastAsia" w:ascii="仿宋" w:hAnsi="仿宋" w:eastAsia="仿宋"/>
          <w:sz w:val="28"/>
          <w:szCs w:val="28"/>
          <w:u w:val="single"/>
        </w:rPr>
        <w:t xml:space="preserve">                     </w:t>
      </w:r>
    </w:p>
    <w:p>
      <w:pPr>
        <w:ind w:firstLine="1920" w:firstLineChars="600"/>
        <w:jc w:val="left"/>
        <w:rPr>
          <w:rFonts w:ascii="黑体" w:hAnsi="黑体" w:eastAsia="黑体"/>
          <w:sz w:val="32"/>
          <w:szCs w:val="32"/>
          <w:u w:val="single"/>
        </w:rPr>
      </w:pPr>
      <w:r>
        <w:rPr>
          <w:rFonts w:hint="eastAsia" w:ascii="黑体" w:hAnsi="黑体" w:eastAsia="黑体"/>
          <w:sz w:val="32"/>
          <w:szCs w:val="32"/>
        </w:rPr>
        <w:t xml:space="preserve">时 </w:t>
      </w:r>
      <w:r>
        <w:rPr>
          <w:rFonts w:ascii="黑体" w:hAnsi="黑体" w:eastAsia="黑体"/>
          <w:sz w:val="32"/>
          <w:szCs w:val="32"/>
        </w:rPr>
        <w:t xml:space="preserve">   </w:t>
      </w:r>
      <w:r>
        <w:rPr>
          <w:rFonts w:hint="eastAsia" w:ascii="黑体" w:hAnsi="黑体" w:eastAsia="黑体"/>
          <w:sz w:val="32"/>
          <w:szCs w:val="32"/>
        </w:rPr>
        <w:t>间：</w:t>
      </w:r>
      <w:r>
        <w:rPr>
          <w:rFonts w:hint="eastAsia" w:ascii="仿宋" w:hAnsi="仿宋" w:eastAsia="仿宋"/>
          <w:sz w:val="28"/>
          <w:szCs w:val="28"/>
          <w:u w:val="single"/>
        </w:rPr>
        <w:t xml:space="preserve">                     </w:t>
      </w:r>
    </w:p>
    <w:tbl>
      <w:tblPr>
        <w:tblStyle w:val="4"/>
        <w:tblW w:w="6484"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0"/>
        <w:gridCol w:w="982"/>
        <w:gridCol w:w="2883"/>
        <w:gridCol w:w="2810"/>
        <w:gridCol w:w="30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企业名称</w:t>
            </w:r>
          </w:p>
        </w:tc>
        <w:tc>
          <w:tcPr>
            <w:tcW w:w="4415"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所属行业</w:t>
            </w:r>
          </w:p>
        </w:tc>
        <w:tc>
          <w:tcPr>
            <w:tcW w:w="4415"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通讯地址</w:t>
            </w:r>
          </w:p>
        </w:tc>
        <w:tc>
          <w:tcPr>
            <w:tcW w:w="4415"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单位性质</w:t>
            </w:r>
          </w:p>
        </w:tc>
        <w:tc>
          <w:tcPr>
            <w:tcW w:w="4415" w:type="pct"/>
            <w:gridSpan w:val="4"/>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内资（□国有□集体□民营）□中外合资□港澳台□外商独资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统一社会信用代码</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邮编</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注册机关</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注册资本</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成立日期</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有效期</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法定代表人</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法定代表人</w:t>
            </w:r>
          </w:p>
          <w:p>
            <w:pPr>
              <w:spacing w:before="120" w:line="440" w:lineRule="exact"/>
              <w:jc w:val="center"/>
              <w:rPr>
                <w:rFonts w:ascii="仿宋" w:hAnsi="仿宋" w:eastAsia="仿宋" w:cs="Times New Roman"/>
                <w:sz w:val="24"/>
              </w:rPr>
            </w:pPr>
            <w:r>
              <w:rPr>
                <w:rFonts w:hint="eastAsia" w:ascii="仿宋" w:hAnsi="仿宋" w:eastAsia="仿宋" w:cs="Times New Roman"/>
                <w:sz w:val="24"/>
              </w:rPr>
              <w:t>联系电话</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申报工作联系部门</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联系人</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联系电话</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传真</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手机</w:t>
            </w:r>
          </w:p>
        </w:tc>
        <w:tc>
          <w:tcPr>
            <w:tcW w:w="1748" w:type="pct"/>
            <w:gridSpan w:val="2"/>
            <w:vAlign w:val="center"/>
          </w:tcPr>
          <w:p>
            <w:pPr>
              <w:spacing w:before="120" w:line="440" w:lineRule="exact"/>
              <w:jc w:val="center"/>
              <w:rPr>
                <w:rFonts w:ascii="仿宋" w:hAnsi="仿宋" w:eastAsia="仿宋" w:cs="Times New Roman"/>
                <w:sz w:val="24"/>
              </w:rPr>
            </w:pPr>
          </w:p>
        </w:tc>
        <w:tc>
          <w:tcPr>
            <w:tcW w:w="1271"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电子邮箱</w:t>
            </w:r>
          </w:p>
        </w:tc>
        <w:tc>
          <w:tcPr>
            <w:tcW w:w="1396"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单位简介</w:t>
            </w:r>
          </w:p>
        </w:tc>
        <w:tc>
          <w:tcPr>
            <w:tcW w:w="4415" w:type="pct"/>
            <w:gridSpan w:val="4"/>
            <w:vAlign w:val="center"/>
          </w:tcPr>
          <w:p>
            <w:pPr>
              <w:spacing w:before="120" w:line="440" w:lineRule="exact"/>
              <w:rPr>
                <w:rFonts w:ascii="仿宋" w:hAnsi="仿宋" w:eastAsia="仿宋" w:cs="Times New Roman"/>
                <w:sz w:val="24"/>
              </w:rPr>
            </w:pPr>
            <w:r>
              <w:rPr>
                <w:rFonts w:hint="eastAsia" w:ascii="仿宋" w:hAnsi="仿宋" w:eastAsia="仿宋" w:cs="Times New Roman"/>
                <w:sz w:val="24"/>
              </w:rPr>
              <w:t>企业发展经历、业务范围、业务覆盖区域范围、经营状况（年总营业收入、年物流营业收入、营业时间）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4"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规模</w:t>
            </w:r>
          </w:p>
        </w:tc>
        <w:tc>
          <w:tcPr>
            <w:tcW w:w="4415" w:type="pct"/>
            <w:gridSpan w:val="4"/>
            <w:vAlign w:val="center"/>
          </w:tcPr>
          <w:p>
            <w:pPr>
              <w:spacing w:before="120" w:line="440" w:lineRule="exact"/>
              <w:rPr>
                <w:rFonts w:ascii="仿宋" w:hAnsi="仿宋" w:eastAsia="仿宋" w:cs="Times New Roman"/>
                <w:sz w:val="24"/>
              </w:rPr>
            </w:pPr>
            <w:r>
              <w:rPr>
                <w:rFonts w:hint="eastAsia" w:ascii="仿宋" w:hAnsi="仿宋" w:eastAsia="仿宋" w:cs="Times New Roman"/>
                <w:sz w:val="24"/>
              </w:rPr>
              <w:t>自有仓储面积/m</w:t>
            </w:r>
            <w:r>
              <w:rPr>
                <w:rFonts w:hint="eastAsia" w:ascii="仿宋" w:hAnsi="仿宋" w:eastAsia="仿宋" w:cs="Times New Roman"/>
                <w:sz w:val="24"/>
                <w:vertAlign w:val="superscript"/>
              </w:rPr>
              <w:t>2</w:t>
            </w:r>
          </w:p>
          <w:p>
            <w:pPr>
              <w:spacing w:before="120" w:line="440" w:lineRule="exact"/>
              <w:rPr>
                <w:rFonts w:ascii="仿宋" w:hAnsi="仿宋" w:eastAsia="仿宋" w:cs="Times New Roman"/>
                <w:sz w:val="24"/>
              </w:rPr>
            </w:pPr>
            <w:r>
              <w:rPr>
                <w:rFonts w:hint="eastAsia" w:ascii="仿宋" w:hAnsi="仿宋" w:eastAsia="仿宋" w:cs="Times New Roman"/>
                <w:sz w:val="24"/>
              </w:rPr>
              <w:t>自有和租用货运汽车/辆（或货物运输装备总载重量/t）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jc w:val="center"/>
        </w:trPr>
        <w:tc>
          <w:tcPr>
            <w:tcW w:w="584"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管理</w:t>
            </w: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管理组织与人员</w:t>
            </w:r>
          </w:p>
        </w:tc>
        <w:tc>
          <w:tcPr>
            <w:tcW w:w="2667" w:type="pct"/>
            <w:gridSpan w:val="2"/>
            <w:vMerge w:val="restart"/>
            <w:vAlign w:val="center"/>
          </w:tcPr>
          <w:p>
            <w:pPr>
              <w:spacing w:before="120"/>
              <w:jc w:val="left"/>
              <w:rPr>
                <w:rFonts w:ascii="仿宋" w:hAnsi="仿宋" w:eastAsia="仿宋" w:cs="Times New Roman"/>
                <w:sz w:val="24"/>
              </w:rPr>
            </w:pPr>
            <w:r>
              <w:rPr>
                <w:rFonts w:hint="eastAsia" w:ascii="仿宋" w:hAnsi="仿宋" w:eastAsia="仿宋" w:cs="Times New Roman"/>
                <w:sz w:val="24"/>
              </w:rPr>
              <w:t>概述企业内部设有绿色发展管理部门或由多部门专职人员组成的绿色发展管理协调工作组；绿色发展管理组织工作制度、标准化物流作业与管理制度、节能降碳制度、能源消耗统计制度、节能宣传教育和培训制度；按照GB/T 19001和GB/T 24001建立质量和环境管理体系，并通过国家或行业相关认证；按照GB/T 23331建立能源管理体系；绿色物流发展规划并制定相应工作计划和实施方案，人力、财力、设备及技术资源支持的情况。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管理制度</w:t>
            </w:r>
          </w:p>
        </w:tc>
        <w:tc>
          <w:tcPr>
            <w:tcW w:w="2667"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管理体系</w:t>
            </w:r>
          </w:p>
        </w:tc>
        <w:tc>
          <w:tcPr>
            <w:tcW w:w="2667"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绿色物流发展规划与实施</w:t>
            </w:r>
          </w:p>
        </w:tc>
        <w:tc>
          <w:tcPr>
            <w:tcW w:w="2667"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jc w:val="center"/>
        </w:trPr>
        <w:tc>
          <w:tcPr>
            <w:tcW w:w="584"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设施、设备、包装器具</w:t>
            </w:r>
          </w:p>
        </w:tc>
        <w:tc>
          <w:tcPr>
            <w:tcW w:w="444"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设施</w:t>
            </w: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交通连接方式</w:t>
            </w:r>
          </w:p>
        </w:tc>
        <w:tc>
          <w:tcPr>
            <w:tcW w:w="2667" w:type="pct"/>
            <w:gridSpan w:val="2"/>
            <w:vMerge w:val="restart"/>
            <w:vAlign w:val="center"/>
          </w:tcPr>
          <w:p>
            <w:pPr>
              <w:spacing w:before="120" w:line="440" w:lineRule="exact"/>
              <w:jc w:val="left"/>
              <w:rPr>
                <w:rFonts w:ascii="Calibri" w:hAnsi="Calibri" w:eastAsia="宋体" w:cs="Times New Roman"/>
                <w:color w:val="000000" w:themeColor="text1"/>
                <w:sz w:val="18"/>
                <w:szCs w:val="18"/>
                <w14:textFill>
                  <w14:solidFill>
                    <w14:schemeClr w14:val="tx1"/>
                  </w14:solidFill>
                </w14:textFill>
              </w:rPr>
            </w:pPr>
            <w:r>
              <w:rPr>
                <w:rFonts w:hint="eastAsia" w:ascii="仿宋" w:hAnsi="仿宋" w:eastAsia="仿宋" w:cs="Times New Roman"/>
                <w:sz w:val="24"/>
              </w:rPr>
              <w:t>概述企业是否具备两种以上（含两种）运输方式或毗邻两条以上（含两条）高速公路、国道；是否有立体库；采用高效冷源、绿色照明、建筑保温隔热、自然采光或自然通风等节能举措；配套有满足新能源载运工具和清洁环保载运工具充（换）电、岸电、加气或加氢需求的辅助设施；配备有计量能源和水等资源的计量器具，计量器具应定期检定，并能对计量器具进行维护与管理；物流包装使用可降解塑料；以及新能源叉车、新能源载运工具（微型和轻型货运汽车）、标准托盘、标准周转箱的比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 w:hRule="atLeast"/>
          <w:jc w:val="center"/>
        </w:trPr>
        <w:tc>
          <w:tcPr>
            <w:tcW w:w="584" w:type="pct"/>
            <w:vMerge w:val="continue"/>
            <w:vAlign w:val="center"/>
          </w:tcPr>
          <w:p>
            <w:pPr>
              <w:spacing w:before="120" w:line="440" w:lineRule="exact"/>
              <w:jc w:val="left"/>
              <w:rPr>
                <w:rFonts w:ascii="Calibri" w:hAnsi="Calibri" w:eastAsia="宋体" w:cs="Times New Roman"/>
              </w:rPr>
            </w:pPr>
          </w:p>
        </w:tc>
        <w:tc>
          <w:tcPr>
            <w:tcW w:w="444" w:type="pct"/>
            <w:vMerge w:val="continue"/>
            <w:vAlign w:val="center"/>
          </w:tcPr>
          <w:p>
            <w:pPr>
              <w:spacing w:before="120" w:line="440" w:lineRule="exact"/>
              <w:jc w:val="left"/>
              <w:rPr>
                <w:rFonts w:ascii="Calibri" w:hAnsi="Calibri" w:eastAsia="宋体" w:cs="Times New Roman"/>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仓库</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主要设施</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jc w:val="center"/>
        </w:trPr>
        <w:tc>
          <w:tcPr>
            <w:tcW w:w="584" w:type="pct"/>
            <w:vMerge w:val="continue"/>
            <w:vAlign w:val="center"/>
          </w:tcPr>
          <w:p>
            <w:pPr>
              <w:spacing w:before="120" w:line="440" w:lineRule="exact"/>
              <w:jc w:val="left"/>
              <w:rPr>
                <w:rFonts w:ascii="Calibri" w:hAnsi="Calibri" w:eastAsia="宋体" w:cs="Times New Roman"/>
              </w:rPr>
            </w:pPr>
          </w:p>
        </w:tc>
        <w:tc>
          <w:tcPr>
            <w:tcW w:w="444" w:type="pct"/>
            <w:vMerge w:val="continue"/>
            <w:vAlign w:val="center"/>
          </w:tcPr>
          <w:p>
            <w:pPr>
              <w:spacing w:before="120" w:line="440" w:lineRule="exact"/>
              <w:jc w:val="left"/>
              <w:rPr>
                <w:rFonts w:ascii="Calibri" w:hAnsi="Calibri" w:eastAsia="宋体" w:cs="Times New Roman"/>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辅助设施</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设备</w:t>
            </w: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新能源叉车比重</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0"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新能源载运工具（微型和轻型货运汽车）比重</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计量器具</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包装器具</w:t>
            </w: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标准托盘比重</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标准周转箱比重</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可降解塑料材料使用</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jc w:val="center"/>
        </w:trPr>
        <w:tc>
          <w:tcPr>
            <w:tcW w:w="584"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运营</w:t>
            </w:r>
          </w:p>
        </w:tc>
        <w:tc>
          <w:tcPr>
            <w:tcW w:w="444"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数字化运营</w:t>
            </w: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数字化和智能化技术应用</w:t>
            </w:r>
          </w:p>
        </w:tc>
        <w:tc>
          <w:tcPr>
            <w:tcW w:w="2667" w:type="pct"/>
            <w:gridSpan w:val="2"/>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概述企业数字化和智能化技术应用、管理信息系统应用在数字化技术设备与管理系统（是否包括TMS）、具备优化运输及配送路径或运输调度等能力；物流业务组织模式应用、实载率（货运汽车实载率）、库存周转次数；企业运营设施产生的可再生能源全部或部分自用，或通过绿色电力交易或绿证交易等市场化方式使用可再生能源，采用减少二次包装、智能算法或减量化包装替代等举措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jc w:val="center"/>
        </w:trPr>
        <w:tc>
          <w:tcPr>
            <w:tcW w:w="584" w:type="pct"/>
            <w:vMerge w:val="continue"/>
            <w:vAlign w:val="center"/>
          </w:tcPr>
          <w:p>
            <w:pPr>
              <w:spacing w:before="120" w:line="440" w:lineRule="exact"/>
              <w:jc w:val="left"/>
              <w:rPr>
                <w:rFonts w:ascii="Calibri" w:hAnsi="Calibri" w:eastAsia="宋体" w:cs="Times New Roman"/>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管理信息系统应用</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jc w:val="center"/>
        </w:trPr>
        <w:tc>
          <w:tcPr>
            <w:tcW w:w="584" w:type="pct"/>
            <w:vMerge w:val="continue"/>
            <w:vAlign w:val="center"/>
          </w:tcPr>
          <w:p>
            <w:pPr>
              <w:spacing w:before="120" w:line="440" w:lineRule="exact"/>
              <w:jc w:val="left"/>
              <w:rPr>
                <w:rFonts w:ascii="Calibri" w:hAnsi="Calibri" w:eastAsia="宋体" w:cs="Times New Roman"/>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运营方案优化</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84" w:type="pct"/>
            <w:vMerge w:val="continue"/>
            <w:vAlign w:val="center"/>
          </w:tcPr>
          <w:p>
            <w:pPr>
              <w:spacing w:before="120" w:line="440" w:lineRule="exact"/>
              <w:jc w:val="left"/>
              <w:rPr>
                <w:rFonts w:ascii="仿宋" w:hAnsi="仿宋" w:eastAsia="仿宋" w:cs="Times New Roman"/>
                <w:sz w:val="24"/>
              </w:rPr>
            </w:pPr>
          </w:p>
        </w:tc>
        <w:tc>
          <w:tcPr>
            <w:tcW w:w="444"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运营模式与效率</w:t>
            </w: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物流业务组织模式应用</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jc w:val="center"/>
        </w:trPr>
        <w:tc>
          <w:tcPr>
            <w:tcW w:w="584" w:type="pct"/>
            <w:vMerge w:val="continue"/>
            <w:vAlign w:val="center"/>
          </w:tcPr>
          <w:p>
            <w:pPr>
              <w:spacing w:before="120" w:line="440" w:lineRule="exact"/>
              <w:jc w:val="left"/>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实载率</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jc w:val="center"/>
        </w:trPr>
        <w:tc>
          <w:tcPr>
            <w:tcW w:w="584" w:type="pct"/>
            <w:vMerge w:val="continue"/>
            <w:vAlign w:val="center"/>
          </w:tcPr>
          <w:p>
            <w:pPr>
              <w:spacing w:before="120" w:line="440" w:lineRule="exact"/>
              <w:jc w:val="left"/>
              <w:rPr>
                <w:rFonts w:ascii="Calibri" w:hAnsi="Calibri" w:eastAsia="宋体" w:cs="Times New Roman"/>
              </w:rPr>
            </w:pPr>
          </w:p>
        </w:tc>
        <w:tc>
          <w:tcPr>
            <w:tcW w:w="444" w:type="pct"/>
            <w:vMerge w:val="continue"/>
            <w:vAlign w:val="center"/>
          </w:tcPr>
          <w:p>
            <w:pPr>
              <w:spacing w:before="120" w:line="440" w:lineRule="exact"/>
              <w:jc w:val="left"/>
              <w:rPr>
                <w:rFonts w:ascii="Calibri" w:hAnsi="Calibri" w:eastAsia="宋体" w:cs="Times New Roman"/>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库存周转次数</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584" w:type="pct"/>
            <w:vMerge w:val="continue"/>
            <w:vAlign w:val="center"/>
          </w:tcPr>
          <w:p>
            <w:pPr>
              <w:spacing w:before="120" w:line="440" w:lineRule="exact"/>
              <w:jc w:val="left"/>
              <w:rPr>
                <w:rFonts w:ascii="仿宋" w:hAnsi="仿宋" w:eastAsia="仿宋" w:cs="Times New Roman"/>
                <w:sz w:val="24"/>
              </w:rPr>
            </w:pPr>
          </w:p>
        </w:tc>
        <w:tc>
          <w:tcPr>
            <w:tcW w:w="444"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资源绿色化</w:t>
            </w: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使用可再生能源</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2" w:hRule="atLeast"/>
          <w:jc w:val="center"/>
        </w:trPr>
        <w:tc>
          <w:tcPr>
            <w:tcW w:w="584" w:type="pct"/>
            <w:vMerge w:val="continue"/>
            <w:vAlign w:val="center"/>
          </w:tcPr>
          <w:p>
            <w:pPr>
              <w:spacing w:before="120" w:line="440" w:lineRule="exact"/>
              <w:jc w:val="left"/>
              <w:rPr>
                <w:rFonts w:ascii="仿宋" w:hAnsi="仿宋" w:eastAsia="仿宋" w:cs="Times New Roman"/>
                <w:sz w:val="24"/>
              </w:rPr>
            </w:pPr>
          </w:p>
        </w:tc>
        <w:tc>
          <w:tcPr>
            <w:tcW w:w="444" w:type="pct"/>
            <w:vMerge w:val="continue"/>
            <w:vAlign w:val="center"/>
          </w:tcPr>
          <w:p>
            <w:pPr>
              <w:spacing w:before="120" w:line="440" w:lineRule="exact"/>
              <w:jc w:val="left"/>
              <w:rPr>
                <w:rFonts w:ascii="仿宋" w:hAnsi="仿宋" w:eastAsia="仿宋" w:cs="Times New Roman"/>
                <w:sz w:val="24"/>
              </w:rPr>
            </w:pPr>
          </w:p>
        </w:tc>
        <w:tc>
          <w:tcPr>
            <w:tcW w:w="1304"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物流包装减量化</w:t>
            </w:r>
          </w:p>
        </w:tc>
        <w:tc>
          <w:tcPr>
            <w:tcW w:w="2667"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7" w:hRule="atLeast"/>
          <w:jc w:val="center"/>
        </w:trPr>
        <w:tc>
          <w:tcPr>
            <w:tcW w:w="584"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绿色信息披露与生态共建</w:t>
            </w: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核算和报告节能降碳信息</w:t>
            </w:r>
          </w:p>
        </w:tc>
        <w:tc>
          <w:tcPr>
            <w:tcW w:w="2667" w:type="pct"/>
            <w:gridSpan w:val="2"/>
            <w:vMerge w:val="restart"/>
            <w:vAlign w:val="center"/>
          </w:tcPr>
          <w:p>
            <w:pPr>
              <w:spacing w:before="120" w:line="360" w:lineRule="exact"/>
              <w:jc w:val="left"/>
              <w:rPr>
                <w:rFonts w:ascii="仿宋" w:hAnsi="仿宋" w:eastAsia="仿宋" w:cs="Times New Roman"/>
                <w:sz w:val="24"/>
              </w:rPr>
            </w:pPr>
            <w:r>
              <w:rPr>
                <w:rFonts w:hint="eastAsia" w:ascii="仿宋" w:hAnsi="仿宋" w:eastAsia="仿宋" w:cs="Times New Roman"/>
                <w:sz w:val="24"/>
              </w:rPr>
              <w:t>概述企业能源消耗清单和节能降碳举措，统计和核算企业或项目层级的能源消耗总量和强度，及二氧化碳排放总量或强度；定期发布含绿色物流的报告，且报告公开可获得；与合作商建立绿色物流沟通协作机制，了解合作商绿色物流服务需求和举措，支持合作商开展绿色物流的举措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7"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社会责任履行情况</w:t>
            </w:r>
          </w:p>
        </w:tc>
        <w:tc>
          <w:tcPr>
            <w:tcW w:w="2667" w:type="pct"/>
            <w:gridSpan w:val="2"/>
            <w:vMerge w:val="continue"/>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 w:hRule="atLeast"/>
          <w:jc w:val="center"/>
        </w:trPr>
        <w:tc>
          <w:tcPr>
            <w:tcW w:w="584" w:type="pct"/>
            <w:vMerge w:val="continue"/>
            <w:vAlign w:val="center"/>
          </w:tcPr>
          <w:p>
            <w:pPr>
              <w:spacing w:before="120" w:line="440" w:lineRule="exact"/>
              <w:jc w:val="center"/>
              <w:rPr>
                <w:rFonts w:ascii="仿宋" w:hAnsi="仿宋" w:eastAsia="仿宋" w:cs="Times New Roman"/>
                <w:sz w:val="24"/>
              </w:rPr>
            </w:pPr>
          </w:p>
        </w:tc>
        <w:tc>
          <w:tcPr>
            <w:tcW w:w="1748"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绿色生态共建</w:t>
            </w:r>
          </w:p>
        </w:tc>
        <w:tc>
          <w:tcPr>
            <w:tcW w:w="2667" w:type="pct"/>
            <w:gridSpan w:val="2"/>
            <w:vMerge w:val="continue"/>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32" w:type="pct"/>
            <w:gridSpan w:val="3"/>
            <w:vAlign w:val="center"/>
          </w:tcPr>
          <w:p>
            <w:pPr>
              <w:spacing w:before="120" w:line="440" w:lineRule="exact"/>
              <w:jc w:val="center"/>
              <w:rPr>
                <w:rFonts w:ascii="仿宋" w:hAnsi="仿宋" w:eastAsia="仿宋" w:cs="Times New Roman"/>
                <w:sz w:val="24"/>
              </w:rPr>
            </w:pPr>
          </w:p>
        </w:tc>
        <w:tc>
          <w:tcPr>
            <w:tcW w:w="2667" w:type="pct"/>
            <w:gridSpan w:val="2"/>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材料真实性承诺：</w:t>
            </w:r>
          </w:p>
          <w:p>
            <w:pPr>
              <w:spacing w:before="120" w:line="440" w:lineRule="exact"/>
              <w:jc w:val="center"/>
              <w:rPr>
                <w:rFonts w:ascii="仿宋" w:hAnsi="仿宋" w:eastAsia="仿宋" w:cs="Times New Roman"/>
                <w:sz w:val="24"/>
              </w:rPr>
            </w:pPr>
          </w:p>
          <w:p>
            <w:pPr>
              <w:spacing w:before="120" w:line="440" w:lineRule="exact"/>
              <w:jc w:val="left"/>
              <w:rPr>
                <w:rFonts w:ascii="仿宋" w:hAnsi="仿宋" w:eastAsia="仿宋" w:cs="Times New Roman"/>
                <w:sz w:val="24"/>
              </w:rPr>
            </w:pPr>
            <w:r>
              <w:rPr>
                <w:rFonts w:hint="eastAsia" w:ascii="仿宋" w:hAnsi="仿宋" w:eastAsia="仿宋" w:cs="Times New Roman"/>
                <w:sz w:val="24"/>
              </w:rPr>
              <w:t>我单位郑重承诺：本次申报企业绿色物流星级评估所提交的相关数据和信息均真实、有效，愿接受并积极配合相关部门的监督抽查和核验。如有违反，愿承担由此产生的相应责任。</w:t>
            </w:r>
          </w:p>
          <w:p>
            <w:pPr>
              <w:spacing w:before="120" w:line="440" w:lineRule="exact"/>
              <w:jc w:val="center"/>
              <w:rPr>
                <w:rFonts w:ascii="仿宋" w:hAnsi="仿宋" w:eastAsia="仿宋" w:cs="Times New Roman"/>
                <w:sz w:val="24"/>
              </w:rPr>
            </w:pPr>
          </w:p>
          <w:p>
            <w:pPr>
              <w:spacing w:before="120" w:line="440" w:lineRule="exact"/>
              <w:jc w:val="right"/>
              <w:rPr>
                <w:rFonts w:ascii="仿宋" w:hAnsi="仿宋" w:eastAsia="仿宋" w:cs="Times New Roman"/>
                <w:sz w:val="24"/>
              </w:rPr>
            </w:pPr>
            <w:r>
              <w:rPr>
                <w:rFonts w:hint="eastAsia" w:ascii="仿宋" w:hAnsi="仿宋" w:eastAsia="仿宋" w:cs="Times New Roman"/>
                <w:sz w:val="24"/>
              </w:rPr>
              <w:t>法人或单位负责人签字：</w:t>
            </w:r>
          </w:p>
          <w:p>
            <w:pPr>
              <w:spacing w:before="120" w:line="440" w:lineRule="exact"/>
              <w:jc w:val="right"/>
              <w:rPr>
                <w:rFonts w:ascii="仿宋" w:hAnsi="仿宋" w:eastAsia="仿宋" w:cs="Times New Roman"/>
                <w:sz w:val="24"/>
              </w:rPr>
            </w:pPr>
            <w:r>
              <w:rPr>
                <w:rFonts w:hint="eastAsia" w:ascii="仿宋" w:hAnsi="仿宋" w:eastAsia="仿宋" w:cs="Times New Roman"/>
                <w:sz w:val="24"/>
              </w:rPr>
              <w:t>（公章）</w:t>
            </w:r>
          </w:p>
          <w:p>
            <w:pPr>
              <w:spacing w:before="120" w:line="440" w:lineRule="exact"/>
              <w:jc w:val="right"/>
              <w:rPr>
                <w:rFonts w:ascii="仿宋" w:hAnsi="仿宋" w:eastAsia="仿宋" w:cs="Times New Roman"/>
                <w:sz w:val="24"/>
              </w:rPr>
            </w:pPr>
            <w:r>
              <w:rPr>
                <w:rFonts w:hint="eastAsia" w:ascii="仿宋" w:hAnsi="仿宋" w:eastAsia="仿宋" w:cs="Times New Roman"/>
                <w:sz w:val="24"/>
              </w:rPr>
              <w:t>日期：</w:t>
            </w:r>
          </w:p>
          <w:p>
            <w:pPr>
              <w:spacing w:before="120" w:line="440" w:lineRule="exact"/>
              <w:jc w:val="center"/>
              <w:rPr>
                <w:rFonts w:ascii="仿宋" w:hAnsi="仿宋" w:eastAsia="仿宋" w:cs="Times New Roman"/>
                <w:sz w:val="24"/>
              </w:rPr>
            </w:pPr>
          </w:p>
        </w:tc>
      </w:tr>
    </w:tbl>
    <w:p>
      <w:pPr>
        <w:spacing w:before="120" w:line="440" w:lineRule="exact"/>
        <w:rPr>
          <w:rFonts w:ascii="仿宋" w:hAnsi="仿宋" w:eastAsia="仿宋"/>
          <w:sz w:val="24"/>
        </w:rPr>
      </w:pPr>
    </w:p>
    <w:p>
      <w:pPr>
        <w:spacing w:before="120" w:line="440" w:lineRule="exact"/>
        <w:rPr>
          <w:rFonts w:ascii="仿宋" w:hAnsi="仿宋" w:eastAsia="仿宋"/>
          <w:sz w:val="24"/>
        </w:rPr>
      </w:pPr>
    </w:p>
    <w:p>
      <w:pPr>
        <w:spacing w:before="120" w:line="440" w:lineRule="exact"/>
        <w:rPr>
          <w:rFonts w:ascii="仿宋" w:hAnsi="仿宋" w:eastAsia="仿宋"/>
          <w:sz w:val="24"/>
        </w:rPr>
      </w:pPr>
    </w:p>
    <w:p>
      <w:pPr>
        <w:spacing w:before="120" w:line="440" w:lineRule="exact"/>
        <w:rPr>
          <w:rFonts w:ascii="仿宋" w:hAnsi="仿宋" w:eastAsia="仿宋"/>
          <w:sz w:val="24"/>
        </w:rPr>
      </w:pPr>
    </w:p>
    <w:p>
      <w:pPr>
        <w:spacing w:before="120" w:line="440" w:lineRule="exact"/>
        <w:rPr>
          <w:rFonts w:ascii="仿宋" w:hAnsi="仿宋" w:eastAsia="仿宋"/>
          <w:sz w:val="24"/>
        </w:rPr>
      </w:pPr>
    </w:p>
    <w:p>
      <w:pPr>
        <w:spacing w:before="120" w:line="440" w:lineRule="exact"/>
        <w:rPr>
          <w:rFonts w:ascii="仿宋" w:hAnsi="仿宋" w:eastAsia="仿宋"/>
          <w:sz w:val="24"/>
        </w:rPr>
      </w:pPr>
    </w:p>
    <w:p>
      <w:pPr>
        <w:spacing w:before="120" w:line="440" w:lineRule="exact"/>
        <w:rPr>
          <w:rFonts w:ascii="仿宋" w:hAnsi="仿宋" w:eastAsia="仿宋"/>
          <w:sz w:val="24"/>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left"/>
        <w:rPr>
          <w:rFonts w:ascii="仿宋" w:hAnsi="仿宋" w:eastAsia="仿宋"/>
          <w:b/>
          <w:bCs/>
          <w:sz w:val="28"/>
          <w:szCs w:val="28"/>
        </w:rPr>
        <w:sectPr>
          <w:pgSz w:w="11906" w:h="16838"/>
          <w:pgMar w:top="1440" w:right="1800" w:bottom="1440" w:left="1800" w:header="851" w:footer="992" w:gutter="0"/>
          <w:cols w:space="425" w:num="1"/>
          <w:docGrid w:type="lines" w:linePitch="312" w:charSpace="0"/>
        </w:sectPr>
      </w:pPr>
    </w:p>
    <w:p>
      <w:pPr>
        <w:jc w:val="left"/>
        <w:rPr>
          <w:rFonts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3</w:t>
      </w:r>
      <w:r>
        <w:rPr>
          <w:rFonts w:hint="eastAsia" w:ascii="仿宋" w:hAnsi="仿宋" w:eastAsia="仿宋"/>
          <w:b/>
          <w:bCs/>
          <w:sz w:val="28"/>
          <w:szCs w:val="28"/>
        </w:rPr>
        <w:t>：《综合型绿色物流企业测评表》</w:t>
      </w:r>
    </w:p>
    <w:p>
      <w:pPr>
        <w:jc w:val="center"/>
        <w:rPr>
          <w:rFonts w:ascii="宋体" w:hAnsi="宋体"/>
          <w:bCs/>
          <w:sz w:val="44"/>
          <w:szCs w:val="44"/>
        </w:rPr>
      </w:pPr>
    </w:p>
    <w:p>
      <w:pPr>
        <w:jc w:val="center"/>
        <w:rPr>
          <w:rFonts w:ascii="宋体" w:hAnsi="宋体"/>
          <w:bCs/>
          <w:sz w:val="44"/>
          <w:szCs w:val="44"/>
        </w:rPr>
      </w:pPr>
    </w:p>
    <w:p>
      <w:pPr>
        <w:jc w:val="both"/>
        <w:rPr>
          <w:rFonts w:ascii="宋体" w:hAnsi="宋体"/>
          <w:bCs/>
          <w:sz w:val="44"/>
          <w:szCs w:val="44"/>
        </w:rPr>
      </w:pPr>
    </w:p>
    <w:p>
      <w:pPr>
        <w:jc w:val="center"/>
        <w:rPr>
          <w:rFonts w:ascii="宋体" w:hAnsi="宋体"/>
          <w:bCs/>
          <w:sz w:val="44"/>
          <w:szCs w:val="44"/>
        </w:rPr>
      </w:pPr>
      <w:r>
        <w:rPr>
          <w:rFonts w:hint="eastAsia" w:ascii="宋体" w:hAnsi="宋体"/>
          <w:bCs/>
          <w:sz w:val="44"/>
          <w:szCs w:val="44"/>
        </w:rPr>
        <w:t>综合型绿色物流企业测评表</w:t>
      </w:r>
    </w:p>
    <w:p>
      <w:pPr>
        <w:jc w:val="center"/>
        <w:rPr>
          <w:rFonts w:ascii="黑体" w:hAnsi="黑体" w:eastAsia="黑体"/>
          <w:b/>
          <w:bCs/>
          <w:sz w:val="36"/>
          <w:szCs w:val="36"/>
        </w:rPr>
      </w:pPr>
    </w:p>
    <w:p>
      <w:pPr>
        <w:jc w:val="center"/>
        <w:rPr>
          <w:rFonts w:ascii="黑体" w:hAnsi="黑体" w:eastAsia="黑体"/>
          <w:b/>
          <w:bCs/>
          <w:sz w:val="36"/>
          <w:szCs w:val="36"/>
        </w:rPr>
      </w:pPr>
    </w:p>
    <w:p>
      <w:pPr>
        <w:rPr>
          <w:rFonts w:ascii="宋体" w:hAnsi="宋体"/>
          <w:sz w:val="44"/>
          <w:szCs w:val="44"/>
        </w:rPr>
      </w:pPr>
    </w:p>
    <w:p>
      <w:pPr>
        <w:rPr>
          <w:rFonts w:ascii="宋体" w:hAnsi="宋体"/>
          <w:sz w:val="44"/>
          <w:szCs w:val="44"/>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700" w:firstLineChars="250"/>
        <w:rPr>
          <w:rFonts w:ascii="仿宋" w:hAnsi="仿宋" w:eastAsia="仿宋"/>
          <w:sz w:val="28"/>
          <w:szCs w:val="28"/>
        </w:rPr>
      </w:pPr>
    </w:p>
    <w:p>
      <w:pPr>
        <w:ind w:firstLine="1920" w:firstLineChars="600"/>
        <w:jc w:val="left"/>
        <w:rPr>
          <w:rFonts w:ascii="黑体" w:hAnsi="黑体" w:eastAsia="黑体"/>
          <w:sz w:val="32"/>
          <w:szCs w:val="32"/>
          <w:u w:val="single"/>
        </w:rPr>
      </w:pPr>
      <w:r>
        <w:rPr>
          <w:rFonts w:hint="eastAsia" w:ascii="黑体" w:hAnsi="黑体" w:eastAsia="黑体"/>
          <w:sz w:val="32"/>
          <w:szCs w:val="32"/>
        </w:rPr>
        <w:t>企业名称：</w:t>
      </w:r>
      <w:r>
        <w:rPr>
          <w:rFonts w:hint="eastAsia" w:ascii="仿宋" w:hAnsi="仿宋" w:eastAsia="仿宋"/>
          <w:sz w:val="28"/>
          <w:szCs w:val="28"/>
          <w:u w:val="single"/>
        </w:rPr>
        <w:t xml:space="preserve">                     </w:t>
      </w:r>
    </w:p>
    <w:p>
      <w:pPr>
        <w:ind w:firstLine="1920" w:firstLineChars="600"/>
        <w:jc w:val="left"/>
        <w:rPr>
          <w:rFonts w:ascii="黑体" w:hAnsi="黑体" w:eastAsia="黑体"/>
          <w:sz w:val="32"/>
          <w:szCs w:val="32"/>
          <w:u w:val="single"/>
        </w:rPr>
      </w:pPr>
      <w:r>
        <w:rPr>
          <w:rFonts w:hint="eastAsia" w:ascii="黑体" w:hAnsi="黑体" w:eastAsia="黑体"/>
          <w:sz w:val="32"/>
          <w:szCs w:val="32"/>
        </w:rPr>
        <w:t xml:space="preserve">时 </w:t>
      </w:r>
      <w:r>
        <w:rPr>
          <w:rFonts w:ascii="黑体" w:hAnsi="黑体" w:eastAsia="黑体"/>
          <w:sz w:val="32"/>
          <w:szCs w:val="32"/>
        </w:rPr>
        <w:t xml:space="preserve">   </w:t>
      </w:r>
      <w:r>
        <w:rPr>
          <w:rFonts w:hint="eastAsia" w:ascii="黑体" w:hAnsi="黑体" w:eastAsia="黑体"/>
          <w:sz w:val="32"/>
          <w:szCs w:val="32"/>
        </w:rPr>
        <w:t>间：</w:t>
      </w:r>
      <w:r>
        <w:rPr>
          <w:rFonts w:hint="eastAsia" w:ascii="仿宋" w:hAnsi="仿宋" w:eastAsia="仿宋"/>
          <w:sz w:val="28"/>
          <w:szCs w:val="28"/>
          <w:u w:val="single"/>
        </w:rPr>
        <w:t xml:space="preserve">                     </w:t>
      </w:r>
    </w:p>
    <w:tbl>
      <w:tblPr>
        <w:tblStyle w:val="4"/>
        <w:tblW w:w="6212" w:type="pct"/>
        <w:tblInd w:w="-98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6"/>
        <w:gridCol w:w="987"/>
        <w:gridCol w:w="2980"/>
        <w:gridCol w:w="2717"/>
        <w:gridCol w:w="26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企业名称</w:t>
            </w:r>
          </w:p>
        </w:tc>
        <w:tc>
          <w:tcPr>
            <w:tcW w:w="4387"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所属行业</w:t>
            </w:r>
          </w:p>
        </w:tc>
        <w:tc>
          <w:tcPr>
            <w:tcW w:w="4387"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通讯地址</w:t>
            </w:r>
          </w:p>
        </w:tc>
        <w:tc>
          <w:tcPr>
            <w:tcW w:w="4387" w:type="pct"/>
            <w:gridSpan w:val="4"/>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单位性质</w:t>
            </w:r>
          </w:p>
        </w:tc>
        <w:tc>
          <w:tcPr>
            <w:tcW w:w="4387" w:type="pct"/>
            <w:gridSpan w:val="4"/>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内资（□国有□集体□民营）□中外合资□港澳台□外商独资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统一社会信用代码</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邮编</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注册机关</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注册资本</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成立日期</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有效期</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法定代表人</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法定代表人</w:t>
            </w:r>
          </w:p>
          <w:p>
            <w:pPr>
              <w:spacing w:before="120" w:line="440" w:lineRule="exact"/>
              <w:jc w:val="center"/>
              <w:rPr>
                <w:rFonts w:ascii="仿宋" w:hAnsi="仿宋" w:eastAsia="仿宋" w:cs="Times New Roman"/>
                <w:sz w:val="24"/>
              </w:rPr>
            </w:pPr>
            <w:r>
              <w:rPr>
                <w:rFonts w:hint="eastAsia" w:ascii="仿宋" w:hAnsi="仿宋" w:eastAsia="仿宋" w:cs="Times New Roman"/>
                <w:sz w:val="24"/>
              </w:rPr>
              <w:t>联系电话</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申报工作联系部门</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联系人</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联系电话</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传真</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手机</w:t>
            </w:r>
          </w:p>
        </w:tc>
        <w:tc>
          <w:tcPr>
            <w:tcW w:w="1873" w:type="pct"/>
            <w:gridSpan w:val="2"/>
            <w:vAlign w:val="center"/>
          </w:tcPr>
          <w:p>
            <w:pPr>
              <w:spacing w:before="120" w:line="440" w:lineRule="exact"/>
              <w:jc w:val="center"/>
              <w:rPr>
                <w:rFonts w:ascii="仿宋" w:hAnsi="仿宋" w:eastAsia="仿宋" w:cs="Times New Roman"/>
                <w:sz w:val="24"/>
              </w:rPr>
            </w:pPr>
          </w:p>
        </w:tc>
        <w:tc>
          <w:tcPr>
            <w:tcW w:w="1283"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电子邮箱</w:t>
            </w:r>
          </w:p>
        </w:tc>
        <w:tc>
          <w:tcPr>
            <w:tcW w:w="1231" w:type="pct"/>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单位简介</w:t>
            </w:r>
          </w:p>
        </w:tc>
        <w:tc>
          <w:tcPr>
            <w:tcW w:w="4387" w:type="pct"/>
            <w:gridSpan w:val="4"/>
            <w:vAlign w:val="center"/>
          </w:tcPr>
          <w:p>
            <w:pPr>
              <w:spacing w:before="120" w:line="440" w:lineRule="exact"/>
              <w:rPr>
                <w:rFonts w:ascii="仿宋" w:hAnsi="仿宋" w:eastAsia="仿宋" w:cs="Times New Roman"/>
                <w:sz w:val="24"/>
              </w:rPr>
            </w:pPr>
            <w:r>
              <w:rPr>
                <w:rFonts w:hint="eastAsia" w:ascii="仿宋" w:hAnsi="仿宋" w:eastAsia="仿宋" w:cs="Times New Roman"/>
                <w:sz w:val="24"/>
              </w:rPr>
              <w:t>企业发展经历、业务范围、业务覆盖区域范围、经营状况（年总营业收入、年物流营业收入、营业时间）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规模</w:t>
            </w:r>
          </w:p>
        </w:tc>
        <w:tc>
          <w:tcPr>
            <w:tcW w:w="4387" w:type="pct"/>
            <w:gridSpan w:val="4"/>
            <w:vAlign w:val="center"/>
          </w:tcPr>
          <w:p>
            <w:pPr>
              <w:spacing w:before="120" w:line="440" w:lineRule="exact"/>
              <w:rPr>
                <w:rFonts w:ascii="仿宋" w:hAnsi="仿宋" w:eastAsia="仿宋" w:cs="Times New Roman"/>
                <w:sz w:val="24"/>
              </w:rPr>
            </w:pPr>
            <w:r>
              <w:rPr>
                <w:rFonts w:hint="eastAsia" w:ascii="仿宋" w:hAnsi="仿宋" w:eastAsia="仿宋" w:cs="Times New Roman"/>
                <w:sz w:val="24"/>
              </w:rPr>
              <w:t>自有和租用仓储面积/m</w:t>
            </w:r>
            <w:r>
              <w:rPr>
                <w:rFonts w:hint="eastAsia" w:ascii="仿宋" w:hAnsi="仿宋" w:eastAsia="仿宋" w:cs="Times New Roman"/>
                <w:sz w:val="24"/>
                <w:vertAlign w:val="superscript"/>
              </w:rPr>
              <w:t>2</w:t>
            </w:r>
          </w:p>
          <w:p>
            <w:pPr>
              <w:spacing w:before="120" w:line="440" w:lineRule="exact"/>
              <w:rPr>
                <w:rFonts w:ascii="仿宋" w:hAnsi="仿宋" w:eastAsia="仿宋" w:cs="Times New Roman"/>
                <w:sz w:val="24"/>
              </w:rPr>
            </w:pPr>
            <w:r>
              <w:rPr>
                <w:rFonts w:hint="eastAsia" w:ascii="仿宋" w:hAnsi="仿宋" w:eastAsia="仿宋" w:cs="Times New Roman"/>
                <w:sz w:val="24"/>
              </w:rPr>
              <w:t>自有和租用货运汽车/辆（或货物运输装备总载重量/t）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4" w:hRule="atLeast"/>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管理</w:t>
            </w: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管理组织与人员</w:t>
            </w:r>
          </w:p>
        </w:tc>
        <w:tc>
          <w:tcPr>
            <w:tcW w:w="2514" w:type="pct"/>
            <w:gridSpan w:val="2"/>
            <w:vMerge w:val="restart"/>
            <w:vAlign w:val="center"/>
          </w:tcPr>
          <w:p>
            <w:pPr>
              <w:spacing w:before="120"/>
              <w:jc w:val="left"/>
              <w:rPr>
                <w:rFonts w:ascii="仿宋" w:hAnsi="仿宋" w:eastAsia="仿宋" w:cs="Times New Roman"/>
                <w:sz w:val="24"/>
              </w:rPr>
            </w:pPr>
            <w:r>
              <w:rPr>
                <w:rFonts w:hint="eastAsia" w:ascii="仿宋" w:hAnsi="仿宋" w:eastAsia="仿宋" w:cs="Times New Roman"/>
                <w:sz w:val="24"/>
              </w:rPr>
              <w:t>概述企业内部设有绿色发展管理部门或由多部门专职人员组成的绿色发展管理协调工作组；绿色发展管理组织工作制度、标准化物流作业与管理制度、节能降碳制度、能源消耗统计制度、节能宣传教育和培训制度；按照GB/T 19001和GB/T 24001建立质量和环境管理体系，并通过国家或行业相关认证；按照GB/T 23331建立能源管理体系；绿色物流发展规划并制定相应工作计划和实施方案，人力、财力、设备及技术资源支持的情况。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管理制度</w:t>
            </w:r>
          </w:p>
        </w:tc>
        <w:tc>
          <w:tcPr>
            <w:tcW w:w="2514"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8"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管理体系</w:t>
            </w:r>
          </w:p>
        </w:tc>
        <w:tc>
          <w:tcPr>
            <w:tcW w:w="2514"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绿色物流发展规划与实施</w:t>
            </w:r>
          </w:p>
        </w:tc>
        <w:tc>
          <w:tcPr>
            <w:tcW w:w="2514" w:type="pct"/>
            <w:gridSpan w:val="2"/>
            <w:vMerge w:val="continue"/>
            <w:vAlign w:val="center"/>
          </w:tcPr>
          <w:p>
            <w:pPr>
              <w:spacing w:before="120"/>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设施、设备、包装器具</w:t>
            </w: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设施</w:t>
            </w:r>
          </w:p>
        </w:tc>
        <w:tc>
          <w:tcPr>
            <w:tcW w:w="2980" w:type="dxa"/>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交通连接方式</w:t>
            </w:r>
          </w:p>
        </w:tc>
        <w:tc>
          <w:tcPr>
            <w:tcW w:w="2514" w:type="pct"/>
            <w:gridSpan w:val="2"/>
            <w:vMerge w:val="restart"/>
            <w:vAlign w:val="center"/>
          </w:tcPr>
          <w:p>
            <w:pPr>
              <w:spacing w:before="120" w:line="440" w:lineRule="exact"/>
              <w:jc w:val="left"/>
              <w:rPr>
                <w:rFonts w:ascii="Calibri" w:hAnsi="Calibri" w:eastAsia="宋体" w:cs="Times New Roman"/>
                <w:color w:val="000000" w:themeColor="text1"/>
                <w:sz w:val="18"/>
                <w:szCs w:val="18"/>
                <w14:textFill>
                  <w14:solidFill>
                    <w14:schemeClr w14:val="tx1"/>
                  </w14:solidFill>
                </w14:textFill>
              </w:rPr>
            </w:pPr>
            <w:r>
              <w:rPr>
                <w:rFonts w:hint="eastAsia" w:ascii="仿宋" w:hAnsi="仿宋" w:eastAsia="仿宋" w:cs="Times New Roman"/>
                <w:sz w:val="24"/>
              </w:rPr>
              <w:t>概述企业是否具备两种以上（含两种）运输方式或毗邻两条以上（含两条）高速公路、国道；是否有立体库；采用高效冷源、绿色照明、建筑保温隔热、自然采光或自然通风等节能举措；配套有满足新能源载运工具和清洁环保载运工具充（换）电、岸电、加气或加氢需求的辅助设施；使用新能源载运工具与清洁环保载运工具（货运船舶或货运飞机）；配备有计量能源和水等资源的计量器具，计量器具应定期检定，并能对计量器具进行维护与管理；物流包装使用可降解塑料；以及新能源叉车、新能源载运工具（微型和轻型货运汽车）、新能源载运工具与清洁环保载运工具（中型和重型货运汽车）、标准托盘、标准周转箱的比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2980" w:type="dxa"/>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仓库</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 w:hRule="atLeast"/>
        </w:trPr>
        <w:tc>
          <w:tcPr>
            <w:tcW w:w="612" w:type="pct"/>
            <w:vMerge w:val="continue"/>
            <w:vAlign w:val="center"/>
          </w:tcPr>
          <w:p>
            <w:pPr>
              <w:spacing w:before="120" w:line="440" w:lineRule="exact"/>
              <w:jc w:val="left"/>
              <w:rPr>
                <w:rFonts w:ascii="Calibri" w:hAnsi="Calibri" w:eastAsia="宋体" w:cs="Times New Roman"/>
              </w:rPr>
            </w:pPr>
          </w:p>
        </w:tc>
        <w:tc>
          <w:tcPr>
            <w:tcW w:w="466" w:type="pct"/>
            <w:vMerge w:val="continue"/>
            <w:vAlign w:val="center"/>
          </w:tcPr>
          <w:p>
            <w:pPr>
              <w:spacing w:before="120" w:line="440" w:lineRule="exact"/>
              <w:jc w:val="left"/>
              <w:rPr>
                <w:rFonts w:ascii="Calibri" w:hAnsi="Calibri" w:eastAsia="宋体" w:cs="Times New Roman"/>
              </w:rPr>
            </w:pPr>
          </w:p>
        </w:tc>
        <w:tc>
          <w:tcPr>
            <w:tcW w:w="2980" w:type="dxa"/>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主要设施</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 w:hRule="atLeast"/>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2980" w:type="dxa"/>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辅助设施</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设备</w:t>
            </w: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新能源叉车比重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新能源载运工具（微型和轻型货运汽车）比重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新能源载运工具与清洁环保载运工具（中型和重型货运汽车）比重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新能源载运工具与清洁环保载运工具（货运船舶或货运飞机）</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计量器具</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包装器具</w:t>
            </w: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标准托盘比重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标准周转箱比重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可降解塑料材料使用</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运营</w:t>
            </w: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数字化运营</w:t>
            </w:r>
          </w:p>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数字化和智能化技术应用</w:t>
            </w:r>
          </w:p>
        </w:tc>
        <w:tc>
          <w:tcPr>
            <w:tcW w:w="2514" w:type="pct"/>
            <w:gridSpan w:val="2"/>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概述企业数字化和智能化技术应用、管理信息系统应用在数字化技术设备与管理系统（是否包括TMS）、具备优化运输及配送路径或运输调度等能力；物流业务组织模式应用、铁路和水路货运周转量比重、实载率；企业运营设施产生的可再生能源全部或部分自用，或通过绿色电力交易或绿证交易等市场化方式使用可再生能源，采用智能算法或减量化包装替代等举措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612" w:type="pct"/>
            <w:vMerge w:val="continue"/>
            <w:vAlign w:val="center"/>
          </w:tcPr>
          <w:p>
            <w:pPr>
              <w:spacing w:before="120" w:line="440" w:lineRule="exact"/>
              <w:jc w:val="left"/>
              <w:rPr>
                <w:rFonts w:ascii="Calibri" w:hAnsi="Calibri" w:eastAsia="宋体" w:cs="Times New Roman"/>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管理信息系统应用</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612" w:type="pct"/>
            <w:vMerge w:val="continue"/>
            <w:vAlign w:val="center"/>
          </w:tcPr>
          <w:p>
            <w:pPr>
              <w:spacing w:before="120" w:line="440" w:lineRule="exact"/>
              <w:jc w:val="left"/>
              <w:rPr>
                <w:rFonts w:ascii="Calibri" w:hAnsi="Calibri" w:eastAsia="宋体" w:cs="Times New Roman"/>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运营方案优化</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运营模式与效率</w:t>
            </w:r>
          </w:p>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物流业务组织模式应用</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铁路和水路货运周转量比重</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实载率</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资源绿色化</w:t>
            </w: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使用可再生能源</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trPr>
        <w:tc>
          <w:tcPr>
            <w:tcW w:w="612" w:type="pct"/>
            <w:vMerge w:val="continue"/>
            <w:vAlign w:val="center"/>
          </w:tcPr>
          <w:p>
            <w:pPr>
              <w:spacing w:before="120" w:line="440" w:lineRule="exact"/>
              <w:jc w:val="left"/>
              <w:rPr>
                <w:rFonts w:ascii="仿宋" w:hAnsi="仿宋" w:eastAsia="仿宋" w:cs="Times New Roman"/>
                <w:sz w:val="24"/>
              </w:rPr>
            </w:pPr>
          </w:p>
        </w:tc>
        <w:tc>
          <w:tcPr>
            <w:tcW w:w="466" w:type="pct"/>
            <w:vMerge w:val="continue"/>
            <w:vAlign w:val="center"/>
          </w:tcPr>
          <w:p>
            <w:pPr>
              <w:spacing w:before="120" w:line="440" w:lineRule="exact"/>
              <w:jc w:val="left"/>
              <w:rPr>
                <w:rFonts w:ascii="仿宋" w:hAnsi="仿宋" w:eastAsia="仿宋" w:cs="Times New Roman"/>
                <w:sz w:val="24"/>
              </w:rPr>
            </w:pPr>
          </w:p>
        </w:tc>
        <w:tc>
          <w:tcPr>
            <w:tcW w:w="1407" w:type="pc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物流包装减量化</w:t>
            </w:r>
          </w:p>
        </w:tc>
        <w:tc>
          <w:tcPr>
            <w:tcW w:w="2514" w:type="pct"/>
            <w:gridSpan w:val="2"/>
            <w:vMerge w:val="continue"/>
            <w:vAlign w:val="center"/>
          </w:tcPr>
          <w:p>
            <w:pPr>
              <w:spacing w:before="120" w:line="440" w:lineRule="exact"/>
              <w:jc w:val="left"/>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5" w:hRule="atLeast"/>
        </w:trPr>
        <w:tc>
          <w:tcPr>
            <w:tcW w:w="612" w:type="pct"/>
            <w:vMerge w:val="restart"/>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绿色信息披露与生态共建</w:t>
            </w: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核算和报告节能降碳信息</w:t>
            </w:r>
          </w:p>
        </w:tc>
        <w:tc>
          <w:tcPr>
            <w:tcW w:w="2514" w:type="pct"/>
            <w:gridSpan w:val="2"/>
            <w:vMerge w:val="restart"/>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概述企业能源消耗清单和节能降碳举措，统计和核算企业或项目层级的能源消耗总量和强度，及二氧化碳排放总量或强度；定期发布含绿色物流的报告，且报告公开可获得；与合作商建立绿色物流沟通协作机制，了解合作商绿色物流服务需求和举措，有支持合作商开展绿色物流的举措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4"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社会责任履行情况</w:t>
            </w:r>
          </w:p>
        </w:tc>
        <w:tc>
          <w:tcPr>
            <w:tcW w:w="2514" w:type="pct"/>
            <w:gridSpan w:val="2"/>
            <w:vMerge w:val="continue"/>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 w:hRule="atLeast"/>
        </w:trPr>
        <w:tc>
          <w:tcPr>
            <w:tcW w:w="612" w:type="pct"/>
            <w:vMerge w:val="continue"/>
            <w:vAlign w:val="center"/>
          </w:tcPr>
          <w:p>
            <w:pPr>
              <w:spacing w:before="120" w:line="440" w:lineRule="exact"/>
              <w:jc w:val="center"/>
              <w:rPr>
                <w:rFonts w:ascii="仿宋" w:hAnsi="仿宋" w:eastAsia="仿宋" w:cs="Times New Roman"/>
                <w:sz w:val="24"/>
              </w:rPr>
            </w:pPr>
          </w:p>
        </w:tc>
        <w:tc>
          <w:tcPr>
            <w:tcW w:w="1873" w:type="pct"/>
            <w:gridSpan w:val="2"/>
            <w:vAlign w:val="center"/>
          </w:tcPr>
          <w:p>
            <w:pPr>
              <w:spacing w:before="120" w:line="440" w:lineRule="exact"/>
              <w:jc w:val="left"/>
              <w:rPr>
                <w:rFonts w:ascii="仿宋" w:hAnsi="仿宋" w:eastAsia="仿宋" w:cs="Times New Roman"/>
                <w:sz w:val="24"/>
              </w:rPr>
            </w:pPr>
            <w:r>
              <w:rPr>
                <w:rFonts w:hint="eastAsia" w:ascii="仿宋" w:hAnsi="仿宋" w:eastAsia="仿宋" w:cs="Times New Roman"/>
                <w:sz w:val="24"/>
              </w:rPr>
              <w:t>绿色生态共建</w:t>
            </w:r>
          </w:p>
        </w:tc>
        <w:tc>
          <w:tcPr>
            <w:tcW w:w="2514" w:type="pct"/>
            <w:gridSpan w:val="2"/>
            <w:vMerge w:val="continue"/>
            <w:vAlign w:val="center"/>
          </w:tcPr>
          <w:p>
            <w:pPr>
              <w:spacing w:before="120" w:line="440" w:lineRule="exact"/>
              <w:jc w:val="center"/>
              <w:rPr>
                <w:rFonts w:ascii="仿宋" w:hAnsi="仿宋" w:eastAsia="仿宋"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85" w:type="pct"/>
            <w:gridSpan w:val="3"/>
            <w:vAlign w:val="center"/>
          </w:tcPr>
          <w:p>
            <w:pPr>
              <w:spacing w:before="120" w:line="440" w:lineRule="exact"/>
              <w:jc w:val="center"/>
              <w:rPr>
                <w:rFonts w:ascii="仿宋" w:hAnsi="仿宋" w:eastAsia="仿宋" w:cs="Times New Roman"/>
                <w:sz w:val="24"/>
              </w:rPr>
            </w:pPr>
          </w:p>
        </w:tc>
        <w:tc>
          <w:tcPr>
            <w:tcW w:w="2514" w:type="pct"/>
            <w:gridSpan w:val="2"/>
            <w:vAlign w:val="center"/>
          </w:tcPr>
          <w:p>
            <w:pPr>
              <w:spacing w:before="120" w:line="440" w:lineRule="exact"/>
              <w:jc w:val="center"/>
              <w:rPr>
                <w:rFonts w:ascii="仿宋" w:hAnsi="仿宋" w:eastAsia="仿宋" w:cs="Times New Roman"/>
                <w:sz w:val="24"/>
              </w:rPr>
            </w:pPr>
            <w:r>
              <w:rPr>
                <w:rFonts w:hint="eastAsia" w:ascii="仿宋" w:hAnsi="仿宋" w:eastAsia="仿宋" w:cs="Times New Roman"/>
                <w:sz w:val="24"/>
              </w:rPr>
              <w:t>材料真实性承诺：</w:t>
            </w:r>
          </w:p>
          <w:p>
            <w:pPr>
              <w:spacing w:before="120" w:line="440" w:lineRule="exact"/>
              <w:jc w:val="center"/>
              <w:rPr>
                <w:rFonts w:ascii="仿宋" w:hAnsi="仿宋" w:eastAsia="仿宋" w:cs="Times New Roman"/>
                <w:sz w:val="24"/>
              </w:rPr>
            </w:pPr>
          </w:p>
          <w:p>
            <w:pPr>
              <w:spacing w:before="120" w:line="440" w:lineRule="exact"/>
              <w:jc w:val="left"/>
              <w:rPr>
                <w:rFonts w:ascii="仿宋" w:hAnsi="仿宋" w:eastAsia="仿宋" w:cs="Times New Roman"/>
                <w:sz w:val="24"/>
              </w:rPr>
            </w:pPr>
            <w:r>
              <w:rPr>
                <w:rFonts w:hint="eastAsia" w:ascii="仿宋" w:hAnsi="仿宋" w:eastAsia="仿宋" w:cs="Times New Roman"/>
                <w:sz w:val="24"/>
              </w:rPr>
              <w:t>我单位郑重承诺：本次申报企业绿色物流星级评估所提交的相关数据和信息均真实、有效，愿接受并积极配合相关部门的监督抽查和核验。如有违反，愿承担由此产生的相应责任。</w:t>
            </w:r>
          </w:p>
          <w:p>
            <w:pPr>
              <w:spacing w:before="120" w:line="440" w:lineRule="exact"/>
              <w:jc w:val="center"/>
              <w:rPr>
                <w:rFonts w:ascii="仿宋" w:hAnsi="仿宋" w:eastAsia="仿宋" w:cs="Times New Roman"/>
                <w:sz w:val="24"/>
              </w:rPr>
            </w:pPr>
          </w:p>
          <w:p>
            <w:pPr>
              <w:spacing w:before="120" w:line="440" w:lineRule="exact"/>
              <w:jc w:val="right"/>
              <w:rPr>
                <w:rFonts w:ascii="仿宋" w:hAnsi="仿宋" w:eastAsia="仿宋" w:cs="Times New Roman"/>
                <w:sz w:val="24"/>
              </w:rPr>
            </w:pPr>
            <w:r>
              <w:rPr>
                <w:rFonts w:hint="eastAsia" w:ascii="仿宋" w:hAnsi="仿宋" w:eastAsia="仿宋" w:cs="Times New Roman"/>
                <w:sz w:val="24"/>
              </w:rPr>
              <w:t>法人或单位负责人签字：</w:t>
            </w:r>
          </w:p>
          <w:p>
            <w:pPr>
              <w:spacing w:before="120" w:line="440" w:lineRule="exact"/>
              <w:jc w:val="right"/>
              <w:rPr>
                <w:rFonts w:ascii="仿宋" w:hAnsi="仿宋" w:eastAsia="仿宋" w:cs="Times New Roman"/>
                <w:sz w:val="24"/>
              </w:rPr>
            </w:pPr>
            <w:r>
              <w:rPr>
                <w:rFonts w:hint="eastAsia" w:ascii="仿宋" w:hAnsi="仿宋" w:eastAsia="仿宋" w:cs="Times New Roman"/>
                <w:sz w:val="24"/>
              </w:rPr>
              <w:t>（公章）</w:t>
            </w:r>
          </w:p>
          <w:p>
            <w:pPr>
              <w:spacing w:before="120" w:line="440" w:lineRule="exact"/>
              <w:jc w:val="right"/>
              <w:rPr>
                <w:rFonts w:ascii="仿宋" w:hAnsi="仿宋" w:eastAsia="仿宋" w:cs="Times New Roman"/>
                <w:sz w:val="24"/>
              </w:rPr>
            </w:pPr>
            <w:r>
              <w:rPr>
                <w:rFonts w:hint="eastAsia" w:ascii="仿宋" w:hAnsi="仿宋" w:eastAsia="仿宋" w:cs="Times New Roman"/>
                <w:sz w:val="24"/>
              </w:rPr>
              <w:t>日期：</w:t>
            </w:r>
          </w:p>
          <w:p>
            <w:pPr>
              <w:spacing w:before="120" w:line="440" w:lineRule="exact"/>
              <w:jc w:val="center"/>
              <w:rPr>
                <w:rFonts w:ascii="仿宋" w:hAnsi="仿宋" w:eastAsia="仿宋" w:cs="Times New Roman"/>
                <w:sz w:val="24"/>
              </w:rPr>
            </w:pPr>
          </w:p>
        </w:tc>
      </w:tr>
    </w:tbl>
    <w:p>
      <w:pPr>
        <w:spacing w:before="120" w:line="440" w:lineRule="exact"/>
        <w:rPr>
          <w:rFonts w:ascii="仿宋" w:hAnsi="仿宋" w:eastAsia="仿宋"/>
          <w:sz w:val="24"/>
        </w:rPr>
      </w:pPr>
    </w:p>
    <w:p>
      <w:pPr>
        <w:spacing w:before="120" w:line="440" w:lineRule="exact"/>
        <w:rPr>
          <w:rFonts w:ascii="仿宋" w:hAnsi="仿宋" w:eastAsia="仿宋"/>
          <w:sz w:val="24"/>
        </w:rPr>
      </w:pPr>
    </w:p>
    <w:p/>
    <w:p>
      <w:pPr>
        <w:spacing w:line="360" w:lineRule="auto"/>
        <w:ind w:firstLine="560" w:firstLineChars="200"/>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MTJhZjM1YzJmNDkzMjI0MzM4ZjA2NjhhMDY1NjcifQ=="/>
  </w:docVars>
  <w:rsids>
    <w:rsidRoot w:val="57723FAE"/>
    <w:rsid w:val="5772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tabs>
        <w:tab w:val="center" w:pos="4153"/>
        <w:tab w:val="right" w:pos="8306"/>
      </w:tabs>
      <w:snapToGrid w:val="0"/>
      <w:jc w:val="center"/>
    </w:pPr>
    <w:rPr>
      <w:sz w:val="18"/>
      <w:szCs w:val="18"/>
    </w:rPr>
  </w:style>
  <w:style w:type="table" w:styleId="4">
    <w:name w:val="Table Grid"/>
    <w:basedOn w:val="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2023-07-10T07:00:00Z</dcterms:created>
  <dc:creator>Michelle</dc:creator>
  <cp:lastModifiedBy>Michelle</cp:lastModifiedBy>
  <dcterms:modified xsi:type="dcterms:W3CDTF">2023-07-10T07:02:15Z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111F657951534D54849BDFDCF2ADD74B_11</vt:lpwstr>
  </property>
</Properties>
</file>